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WORKPLACE SAFETY AND HEALTH</w:t>
      </w:r>
    </w:p>
    <w:p>
      <w:pPr>
        <w:spacing w:after="260"/>
        <w:jc w:val="center"/>
      </w:pPr>
      <w:r>
        <w:rPr>
          <w:rFonts w:ascii="Calibri" w:cs="Calibri" w:eastAsia="Calibri" w:hAnsi="Calibri"/>
          <w:i/>
          <w:iCs/>
          <w:color w:val="6E7480"/>
          <w:sz w:val="19"/>
          <w:szCs w:val="19"/>
        </w:rPr>
        <w:t xml:space="preserve">Duties, heat, incidents and insurance</w:t>
      </w:r>
    </w:p>
    <w:p>
      <w:pPr>
        <w:spacing w:after="180" w:before="0" w:line="276"/>
        <w:jc w:val="both"/>
      </w:pPr>
      <w:r>
        <w:rPr>
          <w:rFonts w:ascii="Calibri" w:cs="Calibri" w:eastAsia="Calibri" w:hAnsi="Calibri"/>
          <w:i/>
          <w:iCs/>
          <w:color w:val="6E7480"/>
          <w:sz w:val="21"/>
          <w:szCs w:val="21"/>
        </w:rPr>
        <w:t xml:space="preserve">One UAE obligation has no counterpart elsewhere in this library: the </w:t>
      </w:r>
      <w:r>
        <w:rPr>
          <w:rFonts w:ascii="Calibri" w:cs="Calibri" w:eastAsia="Calibri" w:hAnsi="Calibri"/>
          <w:b/>
          <w:bCs/>
          <w:i/>
          <w:iCs/>
          <w:color w:val="6E7480"/>
          <w:sz w:val="21"/>
          <w:szCs w:val="21"/>
        </w:rPr>
        <w:t xml:space="preserve">midday work ban</w:t>
      </w:r>
      <w:r>
        <w:rPr>
          <w:rFonts w:ascii="Calibri" w:cs="Calibri" w:eastAsia="Calibri" w:hAnsi="Calibri"/>
          <w:i/>
          <w:iCs/>
          <w:color w:val="6E7480"/>
          <w:sz w:val="21"/>
          <w:szCs w:val="21"/>
        </w:rPr>
        <w:t xml:space="preserve">. Outdoor work is prohibited during prescribed afternoon hours across the summer months, it is inspected, and an employee’s willingness to work makes no difference — it is an employer duty, not a worker choice.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cantSplit/>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licence </w:t>
            </w: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Activity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 — office, site, warehouse, industrial]</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Outdoor work?</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r>
              <w:rPr>
                <w:rFonts w:ascii="Calibri" w:cs="Calibri" w:eastAsia="Calibri" w:hAnsi="Calibri"/>
                <w:sz w:val="19"/>
                <w:szCs w:val="19"/>
              </w:rPr>
              <w:t xml:space="preserve"> — </w:t>
            </w:r>
            <w:r>
              <w:rPr>
                <w:rFonts w:ascii="Calibri" w:cs="Calibri" w:eastAsia="Calibri" w:hAnsi="Calibri"/>
                <w:i/>
                <w:iCs/>
                <w:sz w:val="19"/>
                <w:szCs w:val="19"/>
              </w:rPr>
              <w:t xml:space="preserve">if yes, the midday ban applies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Safety officer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[DESIGNATION]</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First aiders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Work injury insurance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[INSURER]</w:t>
            </w:r>
            <w:r>
              <w:rPr>
                <w:rFonts w:ascii="Calibri" w:cs="Calibri" w:eastAsia="Calibri" w:hAnsi="Calibri"/>
                <w:sz w:val="19"/>
                <w:szCs w:val="19"/>
              </w:rPr>
              <w:t xml:space="preserve">, policy </w:t>
            </w:r>
            <w:r>
              <w:rPr>
                <w:rFonts w:ascii="Calibri" w:cs="Calibri" w:eastAsia="Calibri" w:hAnsi="Calibri"/>
                <w:b/>
                <w:bCs/>
                <w:sz w:val="19"/>
                <w:szCs w:val="19"/>
              </w:rPr>
              <w:t xml:space="preserve">[NUMBER]</w:t>
            </w:r>
            <w:r>
              <w:rPr>
                <w:rFonts w:ascii="Calibri" w:cs="Calibri" w:eastAsia="Calibri" w:hAnsi="Calibri"/>
                <w:sz w:val="19"/>
                <w:szCs w:val="19"/>
              </w:rPr>
              <w:t xml:space="preserve">, expiry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Health insurance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[INSURER]</w:t>
            </w:r>
            <w:r>
              <w:rPr>
                <w:rFonts w:ascii="Calibri" w:cs="Calibri" w:eastAsia="Calibri" w:hAnsi="Calibri"/>
                <w:sz w:val="19"/>
                <w:szCs w:val="19"/>
              </w:rPr>
              <w:t xml:space="preserve">, expiry </w:t>
            </w: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Risk assessment reviewed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rPr>
          <w:cantSplit/>
        </w:trP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Version and date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EMPLOYER DUTIES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Company shall provide a safe workplace, safe equipment, safe systems of work, adequate training and supervision, and any protective equipment required — </w:t>
      </w:r>
      <w:r>
        <w:rPr>
          <w:rFonts w:ascii="Calibri" w:cs="Calibri" w:eastAsia="Calibri" w:hAnsi="Calibri"/>
          <w:b/>
          <w:bCs/>
          <w:sz w:val="21"/>
          <w:szCs w:val="21"/>
        </w:rPr>
        <w:t xml:space="preserve">at the Company’s cost</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Company shall assess the risks of the work, record the assessment, and act on it.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Company shall inform employees of the hazards of their work and the precautions required, </w:t>
      </w:r>
      <w:r>
        <w:rPr>
          <w:rFonts w:ascii="Calibri" w:cs="Calibri" w:eastAsia="Calibri" w:hAnsi="Calibri"/>
          <w:b/>
          <w:bCs/>
          <w:sz w:val="21"/>
          <w:szCs w:val="21"/>
        </w:rPr>
        <w:t xml:space="preserve">in a language they understand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Company shall provide first aid facilities and trained first aiders appropriate to the workplace.</w:t>
      </w:r>
    </w:p>
    <w:p>
      <w:pPr>
        <w:spacing w:after="120" w:before="60" w:line="276"/>
        <w:ind w:left="720" w:hanging="720"/>
        <w:jc w:val="both"/>
      </w:pPr>
      <w:r>
        <w:rPr>
          <w:rFonts w:ascii="Calibri" w:cs="Calibri" w:eastAsia="Calibri" w:hAnsi="Calibri"/>
          <w:sz w:val="21"/>
          <w:szCs w:val="21"/>
        </w:rPr>
        <w:t xml:space="preserve">1.5	</w:t>
      </w:r>
      <w:r>
        <w:rPr>
          <w:rFonts w:ascii="Calibri" w:cs="Calibri" w:eastAsia="Calibri" w:hAnsi="Calibri"/>
          <w:sz w:val="21"/>
          <w:szCs w:val="21"/>
        </w:rPr>
        <w:t xml:space="preserve">The Company shall report work injuries and occupational illnesses as required.</w:t>
      </w:r>
    </w:p>
    <w:p>
      <w:pPr>
        <w:spacing w:after="120" w:before="60" w:line="276"/>
        <w:ind w:left="720" w:hanging="720"/>
        <w:jc w:val="both"/>
      </w:pPr>
      <w:r>
        <w:rPr>
          <w:rFonts w:ascii="Calibri" w:cs="Calibri" w:eastAsia="Calibri" w:hAnsi="Calibri"/>
          <w:sz w:val="21"/>
          <w:szCs w:val="21"/>
        </w:rPr>
        <w:t xml:space="preserve">1.6	</w:t>
      </w:r>
      <w:r>
        <w:rPr>
          <w:rFonts w:ascii="Calibri" w:cs="Calibri" w:eastAsia="Calibri" w:hAnsi="Calibri"/>
          <w:sz w:val="21"/>
          <w:szCs w:val="21"/>
        </w:rPr>
        <w:t xml:space="preserve">The Company shall maintain </w:t>
      </w:r>
      <w:r>
        <w:rPr>
          <w:rFonts w:ascii="Calibri" w:cs="Calibri" w:eastAsia="Calibri" w:hAnsi="Calibri"/>
          <w:b/>
          <w:bCs/>
          <w:sz w:val="21"/>
          <w:szCs w:val="21"/>
        </w:rPr>
        <w:t xml:space="preserve">work injury compensation insurance</w:t>
      </w:r>
      <w:r>
        <w:rPr>
          <w:rFonts w:ascii="Calibri" w:cs="Calibri" w:eastAsia="Calibri" w:hAnsi="Calibri"/>
          <w:sz w:val="21"/>
          <w:szCs w:val="21"/>
        </w:rPr>
        <w:t xml:space="preserve"> and health insurance.</w:t>
      </w:r>
    </w:p>
    <w:p>
      <w:pPr>
        <w:spacing w:after="120" w:before="60" w:line="276"/>
        <w:ind w:left="720" w:hanging="720"/>
        <w:jc w:val="both"/>
      </w:pPr>
      <w:r>
        <w:rPr>
          <w:rFonts w:ascii="Calibri" w:cs="Calibri" w:eastAsia="Calibri" w:hAnsi="Calibri"/>
          <w:sz w:val="21"/>
          <w:szCs w:val="21"/>
        </w:rPr>
        <w:t xml:space="preserve">1.7	</w:t>
      </w:r>
      <w:r>
        <w:rPr>
          <w:rFonts w:ascii="Calibri" w:cs="Calibri" w:eastAsia="Calibri" w:hAnsi="Calibri"/>
          <w:b/>
          <w:bCs/>
          <w:sz w:val="21"/>
          <w:szCs w:val="21"/>
        </w:rPr>
        <w:t xml:space="preserve">Protective equipment may not be charged to employees</w:t>
      </w:r>
      <w:r>
        <w:rPr>
          <w:rFonts w:ascii="Calibri" w:cs="Calibri" w:eastAsia="Calibri" w:hAnsi="Calibri"/>
          <w:sz w:val="21"/>
          <w:szCs w:val="21"/>
        </w:rPr>
        <w:t xml:space="preserve">, in the same way that permits and visas may not be.</w:t>
      </w:r>
    </w:p>
    <w:p>
      <w:pPr>
        <w:keepNext/>
        <w:spacing w:after="120" w:before="280"/>
        <w:outlineLvl w:val="0"/>
      </w:pPr>
      <w:r>
        <w:rPr>
          <w:rFonts w:ascii="Calibri" w:cs="Calibri" w:eastAsia="Calibri" w:hAnsi="Calibri"/>
          <w:b/>
          <w:bCs/>
          <w:color w:val="14161B"/>
          <w:sz w:val="22"/>
          <w:szCs w:val="22"/>
        </w:rPr>
        <w:t xml:space="preserve">2. THE MIDDAY WORK BAN</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Work in direct sunlight and in open areas is </w:t>
      </w:r>
      <w:r>
        <w:rPr>
          <w:rFonts w:ascii="Calibri" w:cs="Calibri" w:eastAsia="Calibri" w:hAnsi="Calibri"/>
          <w:b/>
          <w:bCs/>
          <w:sz w:val="21"/>
          <w:szCs w:val="21"/>
        </w:rPr>
        <w:t xml:space="preserve">prohibited during the prescribed afternoon hours</w:t>
      </w:r>
      <w:r>
        <w:rPr>
          <w:rFonts w:ascii="Calibri" w:cs="Calibri" w:eastAsia="Calibri" w:hAnsi="Calibri"/>
          <w:sz w:val="21"/>
          <w:szCs w:val="21"/>
        </w:rPr>
        <w:t xml:space="preserve"> across the summer months.</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Company shall:</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reschedule outdoor work outside the prohibited window;</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provide shaded rest areas, drinking water and cooling facilities;</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display the working hours schedule visibly at the site;</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train supervisors on heat illness recognition and response;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keep records demonstrating compliance.</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b/>
          <w:bCs/>
          <w:sz w:val="21"/>
          <w:szCs w:val="21"/>
        </w:rPr>
        <w:t xml:space="preserve">The ban applies regardless of an employee’s willingness to work.</w:t>
      </w:r>
      <w:r>
        <w:rPr>
          <w:rFonts w:ascii="Calibri" w:cs="Calibri" w:eastAsia="Calibri" w:hAnsi="Calibri"/>
          <w:sz w:val="21"/>
          <w:szCs w:val="21"/>
        </w:rPr>
        <w:t xml:space="preserve"> It is an employer duty and is enforced by inspection with penalties.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i/>
          <w:iCs/>
          <w:sz w:val="21"/>
          <w:szCs w:val="21"/>
        </w:rPr>
        <w:t xml:space="preserve">Confirm the exact dates and hours each year — they are set annually and the window has varied.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7133"/>
      </w:tblGrid>
      <w:tr>
        <w:trPr>
          <w:cantSplit/>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Control</w:t>
            </w:r>
          </w:p>
        </w:tc>
        <w:tc>
          <w:tcPr>
            <w:tcW w:type="dxa" w:w="71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Prohibited window</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 ANNUALLY]</w:t>
            </w:r>
            <w:r>
              <w:rPr>
                <w:rFonts w:ascii="Calibri" w:cs="Calibri" w:eastAsia="Calibri" w:hAnsi="Calibri"/>
                <w:sz w:val="18"/>
                <w:szCs w:val="18"/>
              </w:rPr>
              <w:t xml:space="preserve"> — prescribed afternoon hours, </w:t>
            </w:r>
            <w:r>
              <w:rPr>
                <w:rFonts w:ascii="Calibri" w:cs="Calibri" w:eastAsia="Calibri" w:hAnsi="Calibri"/>
                <w:b/>
                <w:bCs/>
                <w:sz w:val="18"/>
                <w:szCs w:val="18"/>
              </w:rPr>
              <w:t xml:space="preserve">[June to September]</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Rest area</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Shaded, ventilated, with seating</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Water</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Cool drinking water freely available; electrolyte supplements where appropriate</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Schedule display</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Posted at the site in languages the workforce reads</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Supervisor training</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Heat exhaustion and heat stroke recognition; what to do</w:t>
            </w:r>
          </w:p>
        </w:tc>
      </w:tr>
      <w:tr>
        <w:trPr>
          <w:cantSplit/>
        </w:trP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Records</w:t>
            </w:r>
          </w:p>
        </w:tc>
        <w:tc>
          <w:tcPr>
            <w:tcW w:type="dxa" w:w="71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Rosters, timesheets and site logs evidencing compliance</w:t>
            </w:r>
          </w:p>
        </w:tc>
      </w:tr>
    </w:tbl>
    <w:p>
      <w:pPr>
        <w:keepNext/>
        <w:spacing w:after="120" w:before="280"/>
        <w:outlineLvl w:val="0"/>
      </w:pPr>
      <w:r>
        <w:rPr>
          <w:rFonts w:ascii="Calibri" w:cs="Calibri" w:eastAsia="Calibri" w:hAnsi="Calibri"/>
          <w:b/>
          <w:bCs/>
          <w:color w:val="14161B"/>
          <w:sz w:val="22"/>
          <w:szCs w:val="22"/>
        </w:rPr>
        <w:t xml:space="preserve">3. EMPLOYEE DUTIES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Employees shall follow safety instructions, use protective equipment provided, not interfere with safety devices, report hazards and near misses, and report any injury immediately.</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An employee shall not undertake work they are not trained or authorised to do.</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Failure to follow safety instructions may be a disciplinary matter and, where the Law so provides, a ground for termination.</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4. INCIDENTS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4819"/>
        <w:gridCol w:w="2698"/>
        <w:gridCol w:w="1736"/>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Step</w:t>
            </w:r>
          </w:p>
        </w:tc>
        <w:tc>
          <w:tcPr>
            <w:tcW w:type="dxa" w:w="269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Timing</w:t>
            </w:r>
          </w:p>
        </w:tc>
        <w:tc>
          <w:tcPr>
            <w:tcW w:type="dxa" w:w="173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Done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Make the area safe; give first aid; call emergency services if needed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w:t>
            </w:r>
            <w:r>
              <w:rPr>
                <w:rFonts w:ascii="Calibri" w:cs="Calibri" w:eastAsia="Calibri" w:hAnsi="Calibri"/>
                <w:b/>
                <w:bCs/>
                <w:sz w:val="17"/>
                <w:szCs w:val="17"/>
              </w:rPr>
              <w:t xml:space="preserve">[ROLE]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Immediately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[TIME]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Report to the authorities as required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requirement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Notify the insurer</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Per the policy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Preserve the scene and any equipment involved</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Before clearing</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witness accounts</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Same day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Investigate cause — not blame</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Within </w:t>
            </w:r>
            <w:r>
              <w:rPr>
                <w:rFonts w:ascii="Calibri" w:cs="Calibri" w:eastAsia="Calibri" w:hAnsi="Calibri"/>
                <w:b/>
                <w:bCs/>
                <w:sz w:val="17"/>
                <w:szCs w:val="17"/>
              </w:rPr>
              <w:t xml:space="preserve">[5]</w:t>
            </w:r>
            <w:r>
              <w:rPr>
                <w:rFonts w:ascii="Calibri" w:cs="Calibri" w:eastAsia="Calibri" w:hAnsi="Calibri"/>
                <w:sz w:val="17"/>
                <w:szCs w:val="17"/>
              </w:rPr>
              <w:t xml:space="preserve"> days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Implement corrective action</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Promptly</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Record in the incident register</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Always</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Support the employee — treatment, pay, return to work</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Throughout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Review the risk assessment</w:t>
            </w:r>
          </w:p>
        </w:tc>
        <w:tc>
          <w:tcPr>
            <w:tcW w:type="dxa" w:w="2698"/>
            <w:tcMar>
              <w:top w:type="dxa" w:w="70"/>
              <w:left w:type="dxa" w:w="100"/>
              <w:bottom w:type="dxa" w:w="70"/>
              <w:right w:type="dxa" w:w="100"/>
            </w:tcMar>
            <w:vAlign w:val="center"/>
          </w:tcPr>
          <w:p>
            <w:pPr>
              <w:spacing w:after="0" w:line="240"/>
              <w:jc w:val="left"/>
            </w:pPr>
            <w:r>
              <w:rPr>
                <w:rFonts w:ascii="Calibri" w:cs="Calibri" w:eastAsia="Calibri" w:hAnsi="Calibri"/>
                <w:sz w:val="17"/>
                <w:szCs w:val="17"/>
              </w:rPr>
              <w:t xml:space="preserve">After any significant incident</w:t>
            </w:r>
          </w:p>
        </w:tc>
        <w:tc>
          <w:tcPr>
            <w:tcW w:type="dxa" w:w="1736"/>
            <w:tcMar>
              <w:top w:type="dxa" w:w="70"/>
              <w:left w:type="dxa" w:w="100"/>
              <w:bottom w:type="dxa" w:w="70"/>
              <w:right w:type="dxa" w:w="100"/>
            </w:tcMar>
            <w:vAlign w:val="center"/>
          </w:tcPr>
          <w:p>
            <w:pPr>
              <w:spacing w:after="0" w:line="240"/>
              <w:jc w:val="left"/>
            </w:pPr>
            <w:r>
              <w:rPr>
                <w:rFonts w:ascii="Calibri" w:cs="Calibri" w:eastAsia="Calibri" w:hAnsi="Calibri"/>
                <w:b/>
                <w:bCs/>
                <w:sz w:val="17"/>
                <w:szCs w:val="17"/>
              </w:rPr>
              <w:t xml:space="preserve">[DATE]</w:t>
            </w:r>
          </w:p>
        </w:tc>
      </w:tr>
    </w:tbl>
    <w:p>
      <w:pPr>
        <w:spacing w:after="140"/>
      </w:pP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i/>
          <w:iCs/>
          <w:sz w:val="21"/>
          <w:szCs w:val="21"/>
        </w:rPr>
        <w:t xml:space="preserve">Record near misses as well as injuries. A near miss is a free lesson, and the register of them is where the pattern shows before someone is hurt.</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An employee injured at work retains their entitlements during treatment as the Law provides, and the Company shall not pressure them to return before they are fit.</w:t>
      </w:r>
    </w:p>
    <w:p>
      <w:pPr>
        <w:keepNext/>
        <w:spacing w:after="120" w:before="280"/>
        <w:outlineLvl w:val="0"/>
      </w:pPr>
      <w:r>
        <w:rPr>
          <w:rFonts w:ascii="Calibri" w:cs="Calibri" w:eastAsia="Calibri" w:hAnsi="Calibri"/>
          <w:b/>
          <w:bCs/>
          <w:color w:val="14161B"/>
          <w:sz w:val="22"/>
          <w:szCs w:val="22"/>
        </w:rPr>
        <w:t xml:space="preserve">5. RISK ASSESSMENT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1927"/>
        <w:gridCol w:w="1349"/>
        <w:gridCol w:w="2313"/>
        <w:gridCol w:w="1734"/>
        <w:gridCol w:w="963"/>
        <w:gridCol w:w="967"/>
      </w:tblGrid>
      <w:tr>
        <w:trPr>
          <w:cantSplit/>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Hazard</w:t>
            </w:r>
          </w:p>
        </w:tc>
        <w:tc>
          <w:tcPr>
            <w:tcW w:type="dxa" w:w="134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Who is at risk</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Existing controls</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Further action</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Owner</w:t>
            </w:r>
          </w:p>
        </w:tc>
        <w:tc>
          <w:tcPr>
            <w:tcW w:type="dxa" w:w="96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By</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1</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[Heat and sun exposure]</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[Outdoor staff]</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[Midday ban, shade, water]</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2</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[Manual handling]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[Warehouse]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[Training, equipment]</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3</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[Working at height]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[Site staff]</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4</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[Electrical]</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5</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[Vehicles and plant]</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6</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[Fire and evacuation]</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[All]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[Civil defence requirements]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7</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[Display screens and workstations]</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[Office]</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r>
        <w:trPr>
          <w:cantSplit/>
        </w:trP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6"/>
                <w:szCs w:val="16"/>
              </w:rPr>
              <w:t xml:space="preserve">8</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[Lone or remote working]</w:t>
            </w:r>
          </w:p>
        </w:tc>
        <w:tc>
          <w:tcPr>
            <w:tcW w:type="dxa" w:w="1349"/>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[DETAIL]</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[ACTION]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[NAME]</w:t>
            </w:r>
          </w:p>
        </w:tc>
        <w:tc>
          <w:tcPr>
            <w:tcW w:type="dxa" w:w="967"/>
            <w:tcMar>
              <w:top w:type="dxa" w:w="70"/>
              <w:left w:type="dxa" w:w="100"/>
              <w:bottom w:type="dxa" w:w="70"/>
              <w:right w:type="dxa" w:w="100"/>
            </w:tcMar>
            <w:vAlign w:val="center"/>
          </w:tcPr>
          <w:p>
            <w:pPr>
              <w:spacing w:after="0" w:line="240"/>
              <w:jc w:val="left"/>
            </w:pPr>
            <w:r>
              <w:rPr>
                <w:rFonts w:ascii="Calibri" w:cs="Calibri" w:eastAsia="Calibri" w:hAnsi="Calibri"/>
                <w:b/>
                <w:bCs/>
                <w:sz w:val="16"/>
                <w:szCs w:val="16"/>
              </w:rPr>
              <w:t xml:space="preserve">[DATE]</w:t>
            </w:r>
          </w:p>
        </w:tc>
      </w:tr>
    </w:tbl>
    <w:p>
      <w:pPr>
        <w:spacing w:after="160"/>
      </w:pPr>
    </w:p>
    <w:p>
      <w:pPr>
        <w:keepNext/>
        <w:spacing w:after="120" w:before="280"/>
        <w:outlineLvl w:val="0"/>
      </w:pPr>
      <w:r>
        <w:rPr>
          <w:rFonts w:ascii="Calibri" w:cs="Calibri" w:eastAsia="Calibri" w:hAnsi="Calibri"/>
          <w:b/>
          <w:bCs/>
          <w:color w:val="14161B"/>
          <w:sz w:val="22"/>
          <w:szCs w:val="22"/>
        </w:rPr>
        <w:t xml:space="preserve">6. INSURANCE AND COMPENSATION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Company maintains </w:t>
      </w:r>
      <w:r>
        <w:rPr>
          <w:rFonts w:ascii="Calibri" w:cs="Calibri" w:eastAsia="Calibri" w:hAnsi="Calibri"/>
          <w:b/>
          <w:bCs/>
          <w:sz w:val="21"/>
          <w:szCs w:val="21"/>
        </w:rPr>
        <w:t xml:space="preserve">work injury compensation insurance</w:t>
      </w:r>
      <w:r>
        <w:rPr>
          <w:rFonts w:ascii="Calibri" w:cs="Calibri" w:eastAsia="Calibri" w:hAnsi="Calibri"/>
          <w:sz w:val="21"/>
          <w:szCs w:val="21"/>
        </w:rPr>
        <w:t xml:space="preserve"> covering employees for injury and occupational illness arising out of and in the course of employment.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Company maintains health insurance meeting the requirements of the relevant emirate.</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Compensation for a work injury is dealt with as the Law provides, and the Company shall co-operate fully with any claim.</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b/>
          <w:bCs/>
          <w:sz w:val="21"/>
          <w:szCs w:val="21"/>
        </w:rPr>
        <w:t xml:space="preserve">Neither insurance nor compensation replaces the duty to prevent the injury.</w:t>
      </w:r>
      <w:r>
        <w:rPr>
          <w:rFonts w:ascii="Calibri" w:cs="Calibri" w:eastAsia="Calibri" w:hAnsi="Calibri"/>
          <w:sz w:val="21"/>
          <w:szCs w:val="21"/>
        </w:rPr>
        <w:t xml:space="preserve"> A well-insured unsafe workplace remains an unlawful one.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Insurance is reviewed annually against headcount, activities and any change in operations.</w:t>
      </w:r>
    </w:p>
    <w:p>
      <w:pPr>
        <w:keepNext/>
        <w:spacing w:after="120" w:before="280"/>
        <w:outlineLvl w:val="0"/>
      </w:pPr>
      <w:r>
        <w:rPr>
          <w:rFonts w:ascii="Calibri" w:cs="Calibri" w:eastAsia="Calibri" w:hAnsi="Calibri"/>
          <w:b/>
          <w:bCs/>
          <w:color w:val="14161B"/>
          <w:sz w:val="22"/>
          <w:szCs w:val="22"/>
        </w:rPr>
        <w:t xml:space="preserve">7. RECORDS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433"/>
        <w:gridCol w:w="5205"/>
      </w:tblGrid>
      <w:tr>
        <w:trPr>
          <w:cantSplit/>
          <w:tblHeader/>
        </w:trPr>
        <w:tc>
          <w:tcPr>
            <w:tcW w:type="dxa" w:w="443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Record</w:t>
            </w:r>
          </w:p>
        </w:tc>
        <w:tc>
          <w:tcPr>
            <w:tcW w:type="dxa" w:w="52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Retain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Risk assessments and reviews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Training records and inductions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Duration of employment plus retention period</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Protective equipment issued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employee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Incident and near-miss register</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 where practicable</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Injury reports made to the authorities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policies and renewals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Current plus history</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Midday ban compliance — rosters and site logs</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 summer season</w:t>
            </w:r>
          </w:p>
        </w:tc>
      </w:tr>
      <w:tr>
        <w:trPr>
          <w:cantSplit/>
        </w:trPr>
        <w:tc>
          <w:tcPr>
            <w:tcW w:type="dxa" w:w="443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Inspection reports and any notices received</w:t>
            </w:r>
          </w:p>
        </w:tc>
        <w:tc>
          <w:tcPr>
            <w:tcW w:type="dxa" w:w="52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r>
    </w:tbl>
    <w:p>
      <w:pPr>
        <w:spacing w:after="180"/>
      </w:pPr>
    </w:p>
    <w:p>
      <w:pPr>
        <w:spacing w:after="150" w:before="0" w:line="276"/>
        <w:jc w:val="both"/>
      </w:pPr>
      <w:r>
        <w:rPr>
          <w:rFonts w:ascii="Calibri" w:cs="Calibri" w:eastAsia="Calibri" w:hAnsi="Calibri"/>
          <w:b/>
          <w:bCs/>
          <w:sz w:val="21"/>
          <w:szCs w:val="21"/>
        </w:rPr>
        <w:t xml:space="preserve">Acknowledgement.</w:t>
      </w:r>
      <w:r>
        <w:rPr>
          <w:rFonts w:ascii="Calibri" w:cs="Calibri" w:eastAsia="Calibri" w:hAnsi="Calibri"/>
          <w:sz w:val="21"/>
          <w:szCs w:val="21"/>
        </w:rPr>
        <w:t xml:space="preserve"> I confirm that I have received this policy, understand the safety rules that apply to my work, and know how to report a hazard or an injury.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[EMPLOYEE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 midday ban is an employer duty, not a worker choice</w:t>
      </w:r>
    </w:p>
    <w:p>
      <w:pPr>
        <w:spacing w:after="60" w:line="264"/>
        <w:jc w:val="both"/>
      </w:pPr>
      <w:r>
        <w:rPr>
          <w:rFonts w:ascii="Calibri" w:cs="Calibri" w:eastAsia="Calibri" w:hAnsi="Calibri"/>
          <w:sz w:val="19"/>
          <w:szCs w:val="19"/>
        </w:rPr>
        <w:t xml:space="preserve">Outdoor work is prohibited during prescribed afternoon hours across the summer months. An employee volunteering to work through it does not make it lawful, and it is enforced by site inspection with penalties. Supervisors under schedule pressure are where this fails.</w:t>
      </w:r>
    </w:p>
    <w:p>
      <w:pPr>
        <w:keepNext/>
        <w:spacing w:after="40" w:before="140"/>
      </w:pPr>
      <w:r>
        <w:rPr>
          <w:rFonts w:ascii="Calibri" w:cs="Calibri" w:eastAsia="Calibri" w:hAnsi="Calibri"/>
          <w:b/>
          <w:bCs/>
          <w:color w:val="14161B"/>
          <w:sz w:val="20"/>
          <w:szCs w:val="20"/>
        </w:rPr>
        <w:t xml:space="preserve">Confirm the ban dates and hours annually</w:t>
      </w:r>
    </w:p>
    <w:p>
      <w:pPr>
        <w:spacing w:after="60" w:line="264"/>
        <w:jc w:val="both"/>
      </w:pPr>
      <w:r>
        <w:rPr>
          <w:rFonts w:ascii="Calibri" w:cs="Calibri" w:eastAsia="Calibri" w:hAnsi="Calibri"/>
          <w:sz w:val="19"/>
          <w:szCs w:val="19"/>
        </w:rPr>
        <w:t xml:space="preserve">The window is set each year and has varied. Working from last year’s dates is a small error with real consequences. Check before the season and post the schedule at the site.</w:t>
      </w:r>
    </w:p>
    <w:p>
      <w:pPr>
        <w:keepNext/>
        <w:spacing w:after="40" w:before="140"/>
      </w:pPr>
      <w:r>
        <w:rPr>
          <w:rFonts w:ascii="Calibri" w:cs="Calibri" w:eastAsia="Calibri" w:hAnsi="Calibri"/>
          <w:b/>
          <w:bCs/>
          <w:color w:val="14161B"/>
          <w:sz w:val="20"/>
          <w:szCs w:val="20"/>
        </w:rPr>
        <w:t xml:space="preserve">Shade and water are part of the obligation</w:t>
      </w:r>
    </w:p>
    <w:p>
      <w:pPr>
        <w:spacing w:after="60" w:line="264"/>
        <w:jc w:val="both"/>
      </w:pPr>
      <w:r>
        <w:rPr>
          <w:rFonts w:ascii="Calibri" w:cs="Calibri" w:eastAsia="Calibri" w:hAnsi="Calibri"/>
          <w:sz w:val="19"/>
          <w:szCs w:val="19"/>
        </w:rPr>
        <w:t xml:space="preserve">Rescheduling the hours is not the whole duty. Shaded rest areas, cool drinking water and supervisor training on heat illness are what actually prevent the harm the ban exists to address.</w:t>
      </w:r>
    </w:p>
    <w:p>
      <w:pPr>
        <w:keepNext/>
        <w:spacing w:after="40" w:before="140"/>
      </w:pPr>
      <w:r>
        <w:rPr>
          <w:rFonts w:ascii="Calibri" w:cs="Calibri" w:eastAsia="Calibri" w:hAnsi="Calibri"/>
          <w:b/>
          <w:bCs/>
          <w:color w:val="14161B"/>
          <w:sz w:val="20"/>
          <w:szCs w:val="20"/>
        </w:rPr>
        <w:t xml:space="preserve">Protective equipment is an employer cost</w:t>
      </w:r>
    </w:p>
    <w:p>
      <w:pPr>
        <w:spacing w:after="60" w:line="264"/>
        <w:jc w:val="both"/>
      </w:pPr>
      <w:r>
        <w:rPr>
          <w:rFonts w:ascii="Calibri" w:cs="Calibri" w:eastAsia="Calibri" w:hAnsi="Calibri"/>
          <w:sz w:val="19"/>
          <w:szCs w:val="19"/>
        </w:rPr>
        <w:t xml:space="preserve">Like permits, visas and medical tests, safety equipment cannot be charged to employees or deducted from wages. Deducting for a replaced helmet or lost equipment is unlawful.</w:t>
      </w:r>
    </w:p>
    <w:p>
      <w:pPr>
        <w:keepNext/>
        <w:spacing w:after="40" w:before="140"/>
      </w:pPr>
      <w:r>
        <w:rPr>
          <w:rFonts w:ascii="Calibri" w:cs="Calibri" w:eastAsia="Calibri" w:hAnsi="Calibri"/>
          <w:b/>
          <w:bCs/>
          <w:color w:val="14161B"/>
          <w:sz w:val="20"/>
          <w:szCs w:val="20"/>
        </w:rPr>
        <w:t xml:space="preserve">Brief in a language people understand</w:t>
      </w:r>
    </w:p>
    <w:p>
      <w:pPr>
        <w:spacing w:after="60" w:line="264"/>
        <w:jc w:val="both"/>
      </w:pPr>
      <w:r>
        <w:rPr>
          <w:rFonts w:ascii="Calibri" w:cs="Calibri" w:eastAsia="Calibri" w:hAnsi="Calibri"/>
          <w:sz w:val="19"/>
          <w:szCs w:val="19"/>
        </w:rPr>
        <w:t xml:space="preserve">A safety induction delivered in English to a workforce that does not read it is not an induction. Use the languages the workforce actually reads, and record which language was used — an inspector or an investigation will ask.</w:t>
      </w:r>
    </w:p>
    <w:p>
      <w:pPr>
        <w:keepNext/>
        <w:spacing w:after="40" w:before="140"/>
      </w:pPr>
      <w:r>
        <w:rPr>
          <w:rFonts w:ascii="Calibri" w:cs="Calibri" w:eastAsia="Calibri" w:hAnsi="Calibri"/>
          <w:b/>
          <w:bCs/>
          <w:color w:val="14161B"/>
          <w:sz w:val="20"/>
          <w:szCs w:val="20"/>
        </w:rPr>
        <w:t xml:space="preserve">Record near misses, not just injuries</w:t>
      </w:r>
    </w:p>
    <w:p>
      <w:pPr>
        <w:spacing w:after="60" w:line="264"/>
        <w:jc w:val="both"/>
      </w:pPr>
      <w:r>
        <w:rPr>
          <w:rFonts w:ascii="Calibri" w:cs="Calibri" w:eastAsia="Calibri" w:hAnsi="Calibri"/>
          <w:sz w:val="19"/>
          <w:szCs w:val="19"/>
        </w:rPr>
        <w:t xml:space="preserve">Near misses are free lessons and they cost nothing to record. The pattern in the near-miss register is where the serious incident announces itself in advance, and companies that only log injuries lose that warning entirely.</w:t>
      </w:r>
    </w:p>
    <w:p>
      <w:pPr>
        <w:keepNext/>
        <w:spacing w:after="40" w:before="140"/>
      </w:pPr>
      <w:r>
        <w:rPr>
          <w:rFonts w:ascii="Calibri" w:cs="Calibri" w:eastAsia="Calibri" w:hAnsi="Calibri"/>
          <w:b/>
          <w:bCs/>
          <w:color w:val="14161B"/>
          <w:sz w:val="20"/>
          <w:szCs w:val="20"/>
        </w:rPr>
        <w:t xml:space="preserve">Investigate cause, not blame</w:t>
      </w:r>
    </w:p>
    <w:p>
      <w:pPr>
        <w:spacing w:after="60" w:line="264"/>
        <w:jc w:val="both"/>
      </w:pPr>
      <w:r>
        <w:rPr>
          <w:rFonts w:ascii="Calibri" w:cs="Calibri" w:eastAsia="Calibri" w:hAnsi="Calibri"/>
          <w:sz w:val="19"/>
          <w:szCs w:val="19"/>
        </w:rPr>
        <w:t xml:space="preserve">An investigation aimed at finding who is at fault produces defensive accounts and no learning. One aimed at cause produces both. It also produces better evidence if the incident is later examined externally.</w:t>
      </w:r>
    </w:p>
    <w:p>
      <w:pPr>
        <w:keepNext/>
        <w:spacing w:after="40" w:before="140"/>
      </w:pPr>
      <w:r>
        <w:rPr>
          <w:rFonts w:ascii="Calibri" w:cs="Calibri" w:eastAsia="Calibri" w:hAnsi="Calibri"/>
          <w:b/>
          <w:bCs/>
          <w:color w:val="14161B"/>
          <w:sz w:val="20"/>
          <w:szCs w:val="20"/>
        </w:rPr>
        <w:t xml:space="preserve">Preserve the scene</w:t>
      </w:r>
    </w:p>
    <w:p>
      <w:pPr>
        <w:spacing w:after="60" w:line="264"/>
        <w:jc w:val="both"/>
      </w:pPr>
      <w:r>
        <w:rPr>
          <w:rFonts w:ascii="Calibri" w:cs="Calibri" w:eastAsia="Calibri" w:hAnsi="Calibri"/>
          <w:sz w:val="19"/>
          <w:szCs w:val="19"/>
        </w:rPr>
        <w:t xml:space="preserve">Clearing up before recording what happened destroys the evidence needed for the investigation, the insurance claim and any authority report. Make it safe, then photograph and record, then clear.</w:t>
      </w:r>
    </w:p>
    <w:p>
      <w:pPr>
        <w:keepNext/>
        <w:spacing w:after="40" w:before="140"/>
      </w:pPr>
      <w:r>
        <w:rPr>
          <w:rFonts w:ascii="Calibri" w:cs="Calibri" w:eastAsia="Calibri" w:hAnsi="Calibri"/>
          <w:b/>
          <w:bCs/>
          <w:color w:val="14161B"/>
          <w:sz w:val="20"/>
          <w:szCs w:val="20"/>
        </w:rPr>
        <w:t xml:space="preserve">Insurance does not discharge the duty</w:t>
      </w:r>
    </w:p>
    <w:p>
      <w:pPr>
        <w:spacing w:after="60" w:line="264"/>
        <w:jc w:val="both"/>
      </w:pPr>
      <w:r>
        <w:rPr>
          <w:rFonts w:ascii="Calibri" w:cs="Calibri" w:eastAsia="Calibri" w:hAnsi="Calibri"/>
          <w:sz w:val="19"/>
          <w:szCs w:val="19"/>
        </w:rPr>
        <w:t xml:space="preserve">Work injury compensation insurance and health insurance are mandatory, and neither reduces the obligation to prevent injury. A well-insured unsafe workplace is still unlawful, and the insurer will ask what controls were in place.</w:t>
      </w:r>
    </w:p>
    <w:p>
      <w:pPr>
        <w:keepNext/>
        <w:spacing w:after="40" w:before="140"/>
      </w:pPr>
      <w:r>
        <w:rPr>
          <w:rFonts w:ascii="Calibri" w:cs="Calibri" w:eastAsia="Calibri" w:hAnsi="Calibri"/>
          <w:b/>
          <w:bCs/>
          <w:color w:val="14161B"/>
          <w:sz w:val="20"/>
          <w:szCs w:val="20"/>
        </w:rPr>
        <w:t xml:space="preserve">Review insurance against actual operations</w:t>
      </w:r>
    </w:p>
    <w:p>
      <w:pPr>
        <w:spacing w:after="60" w:line="264"/>
        <w:jc w:val="both"/>
      </w:pPr>
      <w:r>
        <w:rPr>
          <w:rFonts w:ascii="Calibri" w:cs="Calibri" w:eastAsia="Calibri" w:hAnsi="Calibri"/>
          <w:sz w:val="19"/>
          <w:szCs w:val="19"/>
        </w:rPr>
        <w:t xml:space="preserve">Headcount grows, activities change, new equipment arrives, sites open. A policy taken out at incorporation and renewed without review may not cover what the business now does.</w:t>
      </w:r>
    </w:p>
    <w:p>
      <w:pPr>
        <w:keepNext/>
        <w:spacing w:after="40" w:before="140"/>
      </w:pPr>
      <w:r>
        <w:rPr>
          <w:rFonts w:ascii="Calibri" w:cs="Calibri" w:eastAsia="Calibri" w:hAnsi="Calibri"/>
          <w:b/>
          <w:bCs/>
          <w:color w:val="14161B"/>
          <w:sz w:val="20"/>
          <w:szCs w:val="20"/>
        </w:rPr>
        <w:t xml:space="preserve">Support the injured employee properly</w:t>
      </w:r>
    </w:p>
    <w:p>
      <w:pPr>
        <w:spacing w:after="60" w:line="264"/>
        <w:jc w:val="both"/>
      </w:pPr>
      <w:r>
        <w:rPr>
          <w:rFonts w:ascii="Calibri" w:cs="Calibri" w:eastAsia="Calibri" w:hAnsi="Calibri"/>
          <w:sz w:val="19"/>
          <w:szCs w:val="19"/>
        </w:rPr>
        <w:t xml:space="preserve">An employee injured at work retains entitlements during treatment as the Law provides. Pressure to return before they are fit is both a legal exposure and visible to everyone else on the team.</w:t>
      </w:r>
    </w:p>
    <w:p>
      <w:pPr>
        <w:keepNext/>
        <w:spacing w:after="40" w:before="140"/>
      </w:pPr>
      <w:r>
        <w:rPr>
          <w:rFonts w:ascii="Calibri" w:cs="Calibri" w:eastAsia="Calibri" w:hAnsi="Calibri"/>
          <w:b/>
          <w:bCs/>
          <w:color w:val="14161B"/>
          <w:sz w:val="20"/>
          <w:szCs w:val="20"/>
        </w:rPr>
        <w:t xml:space="preserve">Fire and civil defence are separate requirements</w:t>
      </w:r>
    </w:p>
    <w:p>
      <w:pPr>
        <w:spacing w:after="60" w:line="264"/>
        <w:jc w:val="both"/>
      </w:pPr>
      <w:r>
        <w:rPr>
          <w:rFonts w:ascii="Calibri" w:cs="Calibri" w:eastAsia="Calibri" w:hAnsi="Calibri"/>
          <w:sz w:val="19"/>
          <w:szCs w:val="19"/>
        </w:rPr>
        <w:t xml:space="preserve">Premises are subject to civil defence requirements for fire safety, evacuation and equipment, inspected separately from labour requirements. Both apply, and a certificate for one proves nothing about the other.</w:t>
      </w:r>
    </w:p>
    <w:p>
      <w:pPr>
        <w:keepNext/>
        <w:spacing w:after="40" w:before="140"/>
      </w:pPr>
      <w:r>
        <w:rPr>
          <w:rFonts w:ascii="Calibri" w:cs="Calibri" w:eastAsia="Calibri" w:hAnsi="Calibri"/>
          <w:b/>
          <w:bCs/>
          <w:color w:val="14161B"/>
          <w:sz w:val="20"/>
          <w:szCs w:val="20"/>
        </w:rPr>
        <w:t xml:space="preserve">Office workplaces are in scope too</w:t>
      </w:r>
    </w:p>
    <w:p>
      <w:pPr>
        <w:spacing w:after="60" w:line="264"/>
        <w:jc w:val="both"/>
      </w:pPr>
      <w:r>
        <w:rPr>
          <w:rFonts w:ascii="Calibri" w:cs="Calibri" w:eastAsia="Calibri" w:hAnsi="Calibri"/>
          <w:sz w:val="19"/>
          <w:szCs w:val="19"/>
        </w:rPr>
        <w:t xml:space="preserve">Workstation set-up, display screens, electrical safety, evacuation and lone working all apply to office environments. Companies with no site operations sometimes assume safety obligations do not reach them.</w:t>
      </w:r>
    </w:p>
    <w:p>
      <w:pPr>
        <w:keepNext/>
        <w:spacing w:after="40" w:before="140"/>
      </w:pPr>
      <w:r>
        <w:rPr>
          <w:rFonts w:ascii="Calibri" w:cs="Calibri" w:eastAsia="Calibri" w:hAnsi="Calibri"/>
          <w:b/>
          <w:bCs/>
          <w:color w:val="14161B"/>
          <w:sz w:val="20"/>
          <w:szCs w:val="20"/>
        </w:rPr>
        <w:t xml:space="preserve">Keep the midday compliance records</w:t>
      </w:r>
    </w:p>
    <w:p>
      <w:pPr>
        <w:spacing w:after="60" w:line="264"/>
        <w:jc w:val="both"/>
      </w:pPr>
      <w:r>
        <w:rPr>
          <w:rFonts w:ascii="Calibri" w:cs="Calibri" w:eastAsia="Calibri" w:hAnsi="Calibri"/>
          <w:sz w:val="19"/>
          <w:szCs w:val="19"/>
        </w:rPr>
        <w:t xml:space="preserve">Rosters, timesheets and site logs evidencing that outdoor work stopped during the prohibited window are what answer an inspection. Verbal assurance that the rule was followed is not evidence.</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UAE requirements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midday work ban dates and hours are set annually; reporting obligations, insurance requirements, civil defence rules and penalties change and differ by emirate — confirm the current position with MOHRE and the relevant authority each year.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2026-08-23T16:28:34.886Z</dcterms:created>
  <dcterms:modified xsi:type="dcterms:W3CDTF">2026-08-23T16:28:34.886Z</dcterms:modified>
</cp:coreProperties>
</file>

<file path=docProps/custom.xml><?xml version="1.0" encoding="utf-8"?>
<Properties xmlns="http://schemas.openxmlformats.org/officeDocument/2006/custom-properties" xmlns:vt="http://schemas.openxmlformats.org/officeDocument/2006/docPropsVTypes"/>
</file>