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WORK PERMIT AND RESIDENCE VISA</w:t>
      </w:r>
    </w:p>
    <w:p>
      <w:pPr>
        <w:spacing w:after="260"/>
        <w:jc w:val="center"/>
      </w:pPr>
      <w:r>
        <w:rPr>
          <w:rFonts w:ascii="Calibri" w:cs="Calibri" w:eastAsia="Calibri" w:hAnsi="Calibri"/>
          <w:i/>
          <w:iCs/>
          <w:color w:val="6E7480"/>
          <w:sz w:val="19"/>
          <w:szCs w:val="19"/>
        </w:rPr>
        <w:t xml:space="preserve">Hiring a foreign employee — process and obligations</w:t>
      </w:r>
    </w:p>
    <w:p>
      <w:pPr>
        <w:spacing w:after="180" w:before="0" w:line="276"/>
        <w:jc w:val="both"/>
      </w:pPr>
      <w:r>
        <w:rPr>
          <w:rFonts w:ascii="Calibri" w:cs="Calibri" w:eastAsia="Calibri" w:hAnsi="Calibri"/>
          <w:i/>
          <w:iCs/>
          <w:color w:val="6E7480"/>
          <w:sz w:val="21"/>
          <w:szCs w:val="21"/>
        </w:rPr>
        <w:t xml:space="preserve">Around nine in ten private-sector workers in the UAE are expatriates, so this is not an exception process — it is the default way of hiring. The sequence matters: </w:t>
      </w:r>
      <w:r>
        <w:rPr>
          <w:rFonts w:ascii="Calibri" w:cs="Calibri" w:eastAsia="Calibri" w:hAnsi="Calibri"/>
          <w:b/>
          <w:bCs/>
          <w:i/>
          <w:iCs/>
          <w:color w:val="6E7480"/>
          <w:sz w:val="21"/>
          <w:szCs w:val="21"/>
        </w:rPr>
        <w:t xml:space="preserve">quota, then offer, then permit, then entry, then medical, then Emirates ID, then residence visa</w:t>
      </w:r>
      <w:r>
        <w:rPr>
          <w:rFonts w:ascii="Calibri" w:cs="Calibri" w:eastAsia="Calibri" w:hAnsi="Calibri"/>
          <w:i/>
          <w:iCs/>
          <w:color w:val="6E7480"/>
          <w:sz w:val="21"/>
          <w:szCs w:val="21"/>
        </w:rPr>
        <w:t xml:space="preserve">. Starting employment before the permit is issued is unlawful for both sides.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5783"/>
      </w:tblGrid>
      <w:tr>
        <w:trPr>
          <w:cantSplit/>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78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Employer</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establishment </w:t>
            </w:r>
            <w:r>
              <w:rPr>
                <w:rFonts w:ascii="Calibri" w:cs="Calibri" w:eastAsia="Calibri" w:hAnsi="Calibri"/>
                <w:b/>
                <w:bCs/>
                <w:sz w:val="19"/>
                <w:szCs w:val="19"/>
              </w:rPr>
              <w:t xml:space="preserve">[NUMBER]</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Jurisdiction</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[Mainland — MOHRE / Free zone — zone authority]</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Candidate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passport </w:t>
            </w:r>
            <w:r>
              <w:rPr>
                <w:rFonts w:ascii="Calibri" w:cs="Calibri" w:eastAsia="Calibri" w:hAnsi="Calibri"/>
                <w:b/>
                <w:bCs/>
                <w:sz w:val="19"/>
                <w:szCs w:val="19"/>
              </w:rPr>
              <w:t xml:space="preserve">[NUMBER]</w:t>
            </w:r>
            <w:r>
              <w:rPr>
                <w:rFonts w:ascii="Calibri" w:cs="Calibri" w:eastAsia="Calibri" w:hAnsi="Calibri"/>
                <w:sz w:val="19"/>
                <w:szCs w:val="19"/>
              </w:rPr>
              <w:t xml:space="preserve">, </w:t>
            </w:r>
            <w:r>
              <w:rPr>
                <w:rFonts w:ascii="Calibri" w:cs="Calibri" w:eastAsia="Calibri" w:hAnsi="Calibri"/>
                <w:b/>
                <w:bCs/>
                <w:sz w:val="19"/>
                <w:szCs w:val="19"/>
              </w:rPr>
              <w:t xml:space="preserve">[nationality]</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Job title (must match the licence activity)</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[TITLE]</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MOHRE skill level</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[1–9]</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Salary offered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r>
              <w:rPr>
                <w:rFonts w:ascii="Calibri" w:cs="Calibri" w:eastAsia="Calibri" w:hAnsi="Calibri"/>
                <w:sz w:val="19"/>
                <w:szCs w:val="19"/>
              </w:rPr>
              <w:t xml:space="preserve"> total, of which basic </w:t>
            </w: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Recruited from</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[Outside the UAE / Inside the UAE — transfer]</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Quota available?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r>
              <w:rPr>
                <w:rFonts w:ascii="Calibri" w:cs="Calibri" w:eastAsia="Calibri" w:hAnsi="Calibri"/>
                <w:sz w:val="19"/>
                <w:szCs w:val="19"/>
              </w:rPr>
              <w:t xml:space="preserve"> — confirmed </w:t>
            </w:r>
            <w:r>
              <w:rPr>
                <w:rFonts w:ascii="Calibri" w:cs="Calibri" w:eastAsia="Calibri" w:hAnsi="Calibri"/>
                <w:b/>
                <w:bCs/>
                <w:sz w:val="19"/>
                <w:szCs w:val="19"/>
              </w:rPr>
              <w:t xml:space="preserve">[DATE]</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Permit type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[Standard work permit / Transfer / Golden visa holder permit / Part-time / other]</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Target start date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All costs borne by</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The employer</w:t>
            </w:r>
            <w:r>
              <w:rPr>
                <w:rFonts w:ascii="Calibri" w:cs="Calibri" w:eastAsia="Calibri" w:hAnsi="Calibri"/>
                <w:sz w:val="19"/>
                <w:szCs w:val="19"/>
              </w:rPr>
              <w:t xml:space="preserve"> — by law</w:t>
            </w:r>
          </w:p>
        </w:tc>
      </w:tr>
    </w:tbl>
    <w:p>
      <w:pPr>
        <w:spacing w:after="180"/>
      </w:pPr>
    </w:p>
    <w:p>
      <w:pPr>
        <w:keepNext/>
        <w:spacing w:after="120" w:before="280"/>
        <w:outlineLvl w:val="0"/>
      </w:pPr>
      <w:r>
        <w:rPr>
          <w:rFonts w:ascii="Calibri" w:cs="Calibri" w:eastAsia="Calibri" w:hAnsi="Calibri"/>
          <w:b/>
          <w:bCs/>
          <w:color w:val="14161B"/>
          <w:sz w:val="22"/>
          <w:szCs w:val="22"/>
        </w:rPr>
        <w:t xml:space="preserve">1. BEFORE THE OFFER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3276"/>
        <w:gridCol w:w="4433"/>
        <w:gridCol w:w="1544"/>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Check</w:t>
            </w:r>
          </w:p>
        </w:tc>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Why</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Establishment file active and in good standing</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blocked file stops everything, including WPS breaches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Quota available</w:t>
            </w:r>
            <w:r>
              <w:rPr>
                <w:rFonts w:ascii="Calibri" w:cs="Calibri" w:eastAsia="Calibri" w:hAnsi="Calibri"/>
                <w:sz w:val="17"/>
                <w:szCs w:val="17"/>
              </w:rPr>
              <w:t xml:space="preserve"> for the role</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Mainland quota is linked to premises; zones to the package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Job title matches a licensed activity</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mismatch produces refusal</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Skill level determined</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Affects permit category, fees and grace period on cancellation</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Qualifications attested where the role requires them</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Attestation takes weeks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Age 18 or above</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Juvenile permits are a separate category</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Candidate’s current UAE status established</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Transfer differs from overseas recruitment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Any existing employer restriction or ban checked</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ban blocks the permit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Health insurance arranged or budgeted</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Required before the visa issues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Full cost modelled</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Permit, visa, medical, Emirates ID, insurance, deposit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bl>
    <w:p>
      <w:pPr>
        <w:spacing w:after="160"/>
      </w:pPr>
    </w:p>
    <w:p>
      <w:pPr>
        <w:keepNext/>
        <w:spacing w:after="120" w:before="280"/>
        <w:outlineLvl w:val="0"/>
      </w:pPr>
      <w:r>
        <w:rPr>
          <w:rFonts w:ascii="Calibri" w:cs="Calibri" w:eastAsia="Calibri" w:hAnsi="Calibri"/>
          <w:b/>
          <w:bCs/>
          <w:color w:val="14161B"/>
          <w:sz w:val="22"/>
          <w:szCs w:val="22"/>
        </w:rPr>
        <w:t xml:space="preserve">2. THE SEQUENCE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047"/>
        <w:gridCol w:w="3662"/>
        <w:gridCol w:w="1544"/>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0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Step</w:t>
            </w:r>
          </w:p>
        </w:tc>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Quota approval obtained</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Nothing proceeds without it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Job offer issued and signed</w:t>
            </w:r>
            <w:r>
              <w:rPr>
                <w:rFonts w:ascii="Calibri" w:cs="Calibri" w:eastAsia="Calibri" w:hAnsi="Calibri"/>
                <w:sz w:val="17"/>
                <w:szCs w:val="17"/>
              </w:rPr>
              <w:t xml:space="preserve"> by the candidate</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offer must match what is later registered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Work permit application submitted</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Mainland via MOHRE; free zone via the zone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Entry permit issued</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Allows entry for employment purposes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Candidate enters the UAE on the entry permit</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Within its validity</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Medical fitness test</w:t>
            </w:r>
            <w:r>
              <w:rPr>
                <w:rFonts w:ascii="Calibri" w:cs="Calibri" w:eastAsia="Calibri" w:hAnsi="Calibri"/>
                <w:sz w:val="17"/>
                <w:szCs w:val="17"/>
              </w:rPr>
              <w:t xml:space="preserve"> at an approved centre</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Within the period required after arrival</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Emirates ID application and biometrics</w:t>
            </w:r>
          </w:p>
        </w:tc>
        <w:tc>
          <w:tcPr>
            <w:tcW w:type="dxa" w:w="3662"/>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Health insurance activated</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Required for the visa</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Employment contract registered</w:t>
            </w:r>
            <w:r>
              <w:rPr>
                <w:rFonts w:ascii="Calibri" w:cs="Calibri" w:eastAsia="Calibri" w:hAnsi="Calibri"/>
                <w:sz w:val="17"/>
                <w:szCs w:val="17"/>
              </w:rPr>
              <w:t xml:space="preserve"> with MOHRE or the zone</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Within 14 days of permit approval</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Residence visa stamped or issued electronically</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Via GDRFA or ICP</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Labour card / work permit issued</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employee may now work</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Emirates ID collected</w:t>
            </w:r>
          </w:p>
        </w:tc>
        <w:tc>
          <w:tcPr>
            <w:tcW w:type="dxa" w:w="3662"/>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13</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Bank account opened and WPS enrolment completed</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the first payroll</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14</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ILOE subscription explained to the employee</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Their obligation, not the employer’s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15</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Visa and permit expiry diarised with a renewal reminder</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Six months out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i/>
          <w:iCs/>
          <w:sz w:val="21"/>
          <w:szCs w:val="21"/>
        </w:rPr>
        <w:t xml:space="preserve">The employee may not begin work before the permit is issued. Employers under time pressure sometimes start people during processing; it is unlawful for the employer and exposes the individual.</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3. COSTS — AND WHO BEARS THEM</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1927"/>
        <w:gridCol w:w="3856"/>
      </w:tblGrid>
      <w:tr>
        <w:trPr>
          <w:cantSplit/>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Borne by</w:t>
            </w:r>
          </w:p>
        </w:tc>
        <w:tc>
          <w:tcPr>
            <w:tcW w:type="dxa" w:w="38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Note</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Work permit and quota fees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Employer</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Cannot be recovered from the employee</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Entry permit</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Employer</w:t>
            </w:r>
          </w:p>
        </w:tc>
        <w:tc>
          <w:tcPr>
            <w:tcW w:type="dxa" w:w="3856"/>
            <w:tcMar>
              <w:top w:type="dxa" w:w="70"/>
              <w:left w:type="dxa" w:w="100"/>
              <w:bottom w:type="dxa" w:w="70"/>
              <w:right w:type="dxa" w:w="100"/>
            </w:tcMar>
            <w:vAlign w:val="center"/>
          </w:tcPr>
          <w:p>
            <w:pPr>
              <w:spacing w:after="0" w:line="240"/>
              <w:jc w:val="left"/>
            </w:pP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Medical fitness test</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Employer</w:t>
            </w:r>
          </w:p>
        </w:tc>
        <w:tc>
          <w:tcPr>
            <w:tcW w:type="dxa" w:w="3856"/>
            <w:tcMar>
              <w:top w:type="dxa" w:w="70"/>
              <w:left w:type="dxa" w:w="100"/>
              <w:bottom w:type="dxa" w:w="70"/>
              <w:right w:type="dxa" w:w="100"/>
            </w:tcMar>
            <w:vAlign w:val="center"/>
          </w:tcPr>
          <w:p>
            <w:pPr>
              <w:spacing w:after="0" w:line="240"/>
              <w:jc w:val="left"/>
            </w:pP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Emirates ID</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Employer</w:t>
            </w:r>
          </w:p>
        </w:tc>
        <w:tc>
          <w:tcPr>
            <w:tcW w:type="dxa" w:w="3856"/>
            <w:tcMar>
              <w:top w:type="dxa" w:w="70"/>
              <w:left w:type="dxa" w:w="100"/>
              <w:bottom w:type="dxa" w:w="70"/>
              <w:right w:type="dxa" w:w="100"/>
            </w:tcMar>
            <w:vAlign w:val="center"/>
          </w:tcPr>
          <w:p>
            <w:pPr>
              <w:spacing w:after="0" w:line="240"/>
              <w:jc w:val="left"/>
            </w:pP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Residence visa issuance and stamping</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Employer</w:t>
            </w:r>
          </w:p>
        </w:tc>
        <w:tc>
          <w:tcPr>
            <w:tcW w:type="dxa" w:w="3856"/>
            <w:tcMar>
              <w:top w:type="dxa" w:w="70"/>
              <w:left w:type="dxa" w:w="100"/>
              <w:bottom w:type="dxa" w:w="70"/>
              <w:right w:type="dxa" w:w="100"/>
            </w:tcMar>
            <w:vAlign w:val="center"/>
          </w:tcPr>
          <w:p>
            <w:pPr>
              <w:spacing w:after="0" w:line="240"/>
              <w:jc w:val="left"/>
            </w:pP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Health insurance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Employer</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Mandatory</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Recruitment agency fees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Employer</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Never</w:t>
            </w:r>
            <w:r>
              <w:rPr>
                <w:rFonts w:ascii="Calibri" w:cs="Calibri" w:eastAsia="Calibri" w:hAnsi="Calibri"/>
                <w:sz w:val="18"/>
                <w:szCs w:val="18"/>
              </w:rPr>
              <w:t xml:space="preserve"> charged to the candidate</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Bank guarantee or deposit where required</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Employer</w:t>
            </w:r>
          </w:p>
        </w:tc>
        <w:tc>
          <w:tcPr>
            <w:tcW w:type="dxa" w:w="3856"/>
            <w:tcMar>
              <w:top w:type="dxa" w:w="70"/>
              <w:left w:type="dxa" w:w="100"/>
              <w:bottom w:type="dxa" w:w="70"/>
              <w:right w:type="dxa" w:w="100"/>
            </w:tcMar>
            <w:vAlign w:val="center"/>
          </w:tcPr>
          <w:p>
            <w:pPr>
              <w:spacing w:after="0" w:line="240"/>
              <w:jc w:val="left"/>
            </w:pP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Repatriation at the end of employment</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Employer</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Unless dismissed on a summary ground or moving to another UAE employer</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Renewals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Employer</w:t>
            </w:r>
          </w:p>
        </w:tc>
        <w:tc>
          <w:tcPr>
            <w:tcW w:type="dxa" w:w="3856"/>
            <w:tcMar>
              <w:top w:type="dxa" w:w="70"/>
              <w:left w:type="dxa" w:w="100"/>
              <w:bottom w:type="dxa" w:w="70"/>
              <w:right w:type="dxa" w:w="100"/>
            </w:tcMar>
            <w:vAlign w:val="center"/>
          </w:tcPr>
          <w:p>
            <w:pPr>
              <w:spacing w:after="0" w:line="240"/>
              <w:jc w:val="left"/>
            </w:pPr>
          </w:p>
        </w:tc>
      </w:tr>
    </w:tbl>
    <w:p>
      <w:pPr>
        <w:spacing w:after="140"/>
      </w:pP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b/>
          <w:bCs/>
          <w:sz w:val="21"/>
          <w:szCs w:val="21"/>
        </w:rPr>
        <w:t xml:space="preserve">Charging a worker for their own permit, visa or recruitment is prohibited.</w:t>
      </w:r>
      <w:r>
        <w:rPr>
          <w:rFonts w:ascii="Calibri" w:cs="Calibri" w:eastAsia="Calibri" w:hAnsi="Calibri"/>
          <w:sz w:val="21"/>
          <w:szCs w:val="21"/>
        </w:rPr>
        <w:t xml:space="preserve"> This includes indirect recovery — a deduction from salary, a lower salary structured to absorb it, a repayment clause on early departure, or an agency fee refunded to the employer.</w:t>
      </w:r>
    </w:p>
    <w:p>
      <w:pPr>
        <w:keepNext/>
        <w:spacing w:after="120" w:before="280"/>
        <w:outlineLvl w:val="0"/>
      </w:pPr>
      <w:r>
        <w:rPr>
          <w:rFonts w:ascii="Calibri" w:cs="Calibri" w:eastAsia="Calibri" w:hAnsi="Calibri"/>
          <w:b/>
          <w:bCs/>
          <w:color w:val="14161B"/>
          <w:sz w:val="22"/>
          <w:szCs w:val="22"/>
        </w:rPr>
        <w:t xml:space="preserve">4. DURING EMPLOYMENT</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The permit authorises work </w:t>
      </w:r>
      <w:r>
        <w:rPr>
          <w:rFonts w:ascii="Calibri" w:cs="Calibri" w:eastAsia="Calibri" w:hAnsi="Calibri"/>
          <w:b/>
          <w:bCs/>
          <w:sz w:val="21"/>
          <w:szCs w:val="21"/>
        </w:rPr>
        <w:t xml:space="preserve">for this employer, in this role</w:t>
      </w:r>
      <w:r>
        <w:rPr>
          <w:rFonts w:ascii="Calibri" w:cs="Calibri" w:eastAsia="Calibri" w:hAnsi="Calibri"/>
          <w:sz w:val="21"/>
          <w:szCs w:val="21"/>
        </w:rPr>
        <w:t xml:space="preserve">. Working elsewhere, or in a materially different role, requires the appropriate permit.</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Notify the authority of material changes — job title, salary, or the employer’s details — through the amendment service. A change of role may require a fresh permit rather than an amendment.</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Renew the permit and visa </w:t>
      </w:r>
      <w:r>
        <w:rPr>
          <w:rFonts w:ascii="Calibri" w:cs="Calibri" w:eastAsia="Calibri" w:hAnsi="Calibri"/>
          <w:b/>
          <w:bCs/>
          <w:sz w:val="21"/>
          <w:szCs w:val="21"/>
        </w:rPr>
        <w:t xml:space="preserve">before expiry</w:t>
      </w:r>
      <w:r>
        <w:rPr>
          <w:rFonts w:ascii="Calibri" w:cs="Calibri" w:eastAsia="Calibri" w:hAnsi="Calibri"/>
          <w:sz w:val="21"/>
          <w:szCs w:val="21"/>
        </w:rPr>
        <w:t xml:space="preserve">. Begin the process well in advance; a lapsed visa creates an immediate problem for the employee’s status and for the employer.</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Do not retain the employee’s passport.</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sz w:val="21"/>
          <w:szCs w:val="21"/>
        </w:rPr>
        <w:t xml:space="preserve">Maintain health insurance throughout.</w:t>
      </w:r>
    </w:p>
    <w:p>
      <w:pPr>
        <w:keepNext/>
        <w:spacing w:after="120" w:before="280"/>
        <w:outlineLvl w:val="0"/>
      </w:pPr>
      <w:r>
        <w:rPr>
          <w:rFonts w:ascii="Calibri" w:cs="Calibri" w:eastAsia="Calibri" w:hAnsi="Calibri"/>
          <w:b/>
          <w:bCs/>
          <w:color w:val="14161B"/>
          <w:sz w:val="22"/>
          <w:szCs w:val="22"/>
        </w:rPr>
        <w:t xml:space="preserve">5. ON TERMINATION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78"/>
        <w:gridCol w:w="5590"/>
        <w:gridCol w:w="3470"/>
      </w:tblGrid>
      <w:tr>
        <w:trPr>
          <w:cantSplit/>
          <w:tblHeader/>
        </w:trPr>
        <w:tc>
          <w:tcPr>
            <w:tcW w:type="dxa" w:w="57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559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347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Timing</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Compute and pay all entitlements including gratuity</w:t>
            </w:r>
          </w:p>
        </w:tc>
        <w:tc>
          <w:tcPr>
            <w:tcW w:type="dxa" w:w="347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Within 14 days of the last working day</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Provide the settlement statement</w:t>
            </w:r>
          </w:p>
        </w:tc>
        <w:tc>
          <w:tcPr>
            <w:tcW w:type="dxa" w:w="347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payment</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Cancel the work permit with MOHRE or the zone</w:t>
            </w:r>
          </w:p>
        </w:tc>
        <w:tc>
          <w:tcPr>
            <w:tcW w:type="dxa" w:w="347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After settlement</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Cancel the residence visa via GDRFA or ICP</w:t>
            </w:r>
          </w:p>
        </w:tc>
        <w:tc>
          <w:tcPr>
            <w:tcW w:type="dxa" w:w="347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After permit cancellation</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Cancel health insurance at the correct date</w:t>
            </w:r>
          </w:p>
        </w:tc>
        <w:tc>
          <w:tcPr>
            <w:tcW w:type="dxa" w:w="347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visa cancellation</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Arrange repatriation where the obligation applies</w:t>
            </w:r>
          </w:p>
        </w:tc>
        <w:tc>
          <w:tcPr>
            <w:tcW w:type="dxa" w:w="347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departure</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Inform the employee of the grace period</w:t>
            </w:r>
          </w:p>
        </w:tc>
        <w:tc>
          <w:tcPr>
            <w:tcW w:type="dxa" w:w="347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cancellation</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Update the establishment file and quota position</w:t>
            </w:r>
          </w:p>
        </w:tc>
        <w:tc>
          <w:tcPr>
            <w:tcW w:type="dxa" w:w="347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Promptly</w:t>
            </w:r>
          </w:p>
        </w:tc>
      </w:tr>
    </w:tbl>
    <w:p>
      <w:pPr>
        <w:spacing w:after="140"/>
      </w:pP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b/>
          <w:bCs/>
          <w:sz w:val="21"/>
          <w:szCs w:val="21"/>
        </w:rPr>
        <w:t xml:space="preserve">Settle before you cancel.</w:t>
      </w:r>
      <w:r>
        <w:rPr>
          <w:rFonts w:ascii="Calibri" w:cs="Calibri" w:eastAsia="Calibri" w:hAnsi="Calibri"/>
          <w:sz w:val="21"/>
          <w:szCs w:val="21"/>
        </w:rPr>
        <w:t xml:space="preserve"> Cancelling the visa first removes the employee’s status while entitlements are outstanding, and MOHRE expects entitlements to be settled as part of the cancellation.</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After cancellation the former employee has a grace period to remain lawfully, which varies by skill category. Explain it clearly rather than leaving them to discover it.</w:t>
      </w:r>
    </w:p>
    <w:p>
      <w:pPr>
        <w:keepNext/>
        <w:spacing w:after="120" w:before="280"/>
        <w:outlineLvl w:val="0"/>
      </w:pPr>
      <w:r>
        <w:rPr>
          <w:rFonts w:ascii="Calibri" w:cs="Calibri" w:eastAsia="Calibri" w:hAnsi="Calibri"/>
          <w:b/>
          <w:bCs/>
          <w:color w:val="14161B"/>
          <w:sz w:val="22"/>
          <w:szCs w:val="22"/>
        </w:rPr>
        <w:t xml:space="preserve">6. VISA CATEGORIES IN BRIEF</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1927"/>
        <w:gridCol w:w="5206"/>
      </w:tblGrid>
      <w:tr>
        <w:trPr>
          <w:cantSplit/>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Category</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Sponsor</w:t>
            </w:r>
          </w:p>
        </w:tc>
        <w:tc>
          <w:tcPr>
            <w:tcW w:type="dxa" w:w="520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Note</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Standard employment visa</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employer</w:t>
            </w:r>
          </w:p>
        </w:tc>
        <w:tc>
          <w:tcPr>
            <w:tcW w:type="dxa" w:w="520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Tied to the employer; validity typically 2–3 years</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Green visa</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Self-sponsored</w:t>
            </w:r>
          </w:p>
        </w:tc>
        <w:tc>
          <w:tcPr>
            <w:tcW w:type="dxa" w:w="520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Skilled employees meeting a salary or qualification threshold, and freelancers</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Golden visa</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Self-sponsored</w:t>
            </w:r>
          </w:p>
        </w:tc>
        <w:tc>
          <w:tcPr>
            <w:tcW w:type="dxa" w:w="520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Long-term. </w:t>
            </w:r>
            <w:r>
              <w:rPr>
                <w:rFonts w:ascii="Calibri" w:cs="Calibri" w:eastAsia="Calibri" w:hAnsi="Calibri"/>
                <w:b/>
                <w:bCs/>
                <w:sz w:val="18"/>
                <w:szCs w:val="18"/>
              </w:rPr>
              <w:t xml:space="preserve">Still requires a work permit to take employment</w:t>
            </w:r>
            <w:r>
              <w:rPr>
                <w:rFonts w:ascii="Calibri" w:cs="Calibri" w:eastAsia="Calibri" w:hAnsi="Calibri"/>
                <w:sz w:val="18"/>
                <w:szCs w:val="18"/>
              </w:rPr>
              <w:t xml:space="preserve"> — widely misunderstood</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Freelance permit</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Self</w:t>
            </w:r>
          </w:p>
        </w:tc>
        <w:tc>
          <w:tcPr>
            <w:tcW w:type="dxa" w:w="520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Permits independent work</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Family sponsorship</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resident</w:t>
            </w:r>
          </w:p>
        </w:tc>
        <w:tc>
          <w:tcPr>
            <w:tcW w:type="dxa" w:w="520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Subject to salary and accommodation conditions</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Free zone visa</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zone entity</w:t>
            </w:r>
          </w:p>
        </w:tc>
        <w:tc>
          <w:tcPr>
            <w:tcW w:type="dxa" w:w="520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Administered by the zone authority</w:t>
            </w:r>
          </w:p>
        </w:tc>
      </w:tr>
    </w:tbl>
    <w:p>
      <w:pPr>
        <w:spacing w:after="140"/>
      </w:pP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i/>
          <w:iCs/>
          <w:sz w:val="21"/>
          <w:szCs w:val="21"/>
        </w:rPr>
        <w:t xml:space="preserve">A Golden Visa holder joining your company still needs a work permit, and the employer’s obligations — WPS, insurance, gratuity, Emiratisation counting — apply in full. The visa removes the sponsorship dependency, not the employment compliance.</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Quota first, everything else after</w:t>
      </w:r>
    </w:p>
    <w:p>
      <w:pPr>
        <w:spacing w:after="60" w:line="264"/>
        <w:jc w:val="both"/>
      </w:pPr>
      <w:r>
        <w:rPr>
          <w:rFonts w:ascii="Calibri" w:cs="Calibri" w:eastAsia="Calibri" w:hAnsi="Calibri"/>
          <w:sz w:val="19"/>
          <w:szCs w:val="19"/>
        </w:rPr>
        <w:t xml:space="preserve">Mainland quota is linked to premises and activity; free zone quota comes with the package. An offer made before quota is confirmed is an offer that may have to be withdrawn, which is a poor start and occasionally a claim.</w:t>
      </w:r>
    </w:p>
    <w:p>
      <w:pPr>
        <w:keepNext/>
        <w:spacing w:after="40" w:before="140"/>
      </w:pPr>
      <w:r>
        <w:rPr>
          <w:rFonts w:ascii="Calibri" w:cs="Calibri" w:eastAsia="Calibri" w:hAnsi="Calibri"/>
          <w:b/>
          <w:bCs/>
          <w:color w:val="14161B"/>
          <w:sz w:val="20"/>
          <w:szCs w:val="20"/>
        </w:rPr>
        <w:t xml:space="preserve">The job title must match the licence</w:t>
      </w:r>
    </w:p>
    <w:p>
      <w:pPr>
        <w:spacing w:after="60" w:line="264"/>
        <w:jc w:val="both"/>
      </w:pPr>
      <w:r>
        <w:rPr>
          <w:rFonts w:ascii="Calibri" w:cs="Calibri" w:eastAsia="Calibri" w:hAnsi="Calibri"/>
          <w:sz w:val="19"/>
          <w:szCs w:val="19"/>
        </w:rPr>
        <w:t xml:space="preserve">Work permits are refused where the role does not correspond to a licensed activity. This surfaces at the permit stage, after the candidate has resigned elsewhere. Check the activity list against the role before the offer goes out.</w:t>
      </w:r>
    </w:p>
    <w:p>
      <w:pPr>
        <w:keepNext/>
        <w:spacing w:after="40" w:before="140"/>
      </w:pPr>
      <w:r>
        <w:rPr>
          <w:rFonts w:ascii="Calibri" w:cs="Calibri" w:eastAsia="Calibri" w:hAnsi="Calibri"/>
          <w:b/>
          <w:bCs/>
          <w:color w:val="14161B"/>
          <w:sz w:val="20"/>
          <w:szCs w:val="20"/>
        </w:rPr>
        <w:t xml:space="preserve">Employees cannot start before the permit issues</w:t>
      </w:r>
    </w:p>
    <w:p>
      <w:pPr>
        <w:spacing w:after="60" w:line="264"/>
        <w:jc w:val="both"/>
      </w:pPr>
      <w:r>
        <w:rPr>
          <w:rFonts w:ascii="Calibri" w:cs="Calibri" w:eastAsia="Calibri" w:hAnsi="Calibri"/>
          <w:sz w:val="19"/>
          <w:szCs w:val="19"/>
        </w:rPr>
        <w:t xml:space="preserve">Beginning work during processing is unlawful for the employer and exposes the individual to penalties and status problems. Time pressure is not a defence, and it is visible if anything goes wrong.</w:t>
      </w:r>
    </w:p>
    <w:p>
      <w:pPr>
        <w:keepNext/>
        <w:spacing w:after="40" w:before="140"/>
      </w:pPr>
      <w:r>
        <w:rPr>
          <w:rFonts w:ascii="Calibri" w:cs="Calibri" w:eastAsia="Calibri" w:hAnsi="Calibri"/>
          <w:b/>
          <w:bCs/>
          <w:color w:val="14161B"/>
          <w:sz w:val="20"/>
          <w:szCs w:val="20"/>
        </w:rPr>
        <w:t xml:space="preserve">Fourteen days to register the contract</w:t>
      </w:r>
    </w:p>
    <w:p>
      <w:pPr>
        <w:spacing w:after="60" w:line="264"/>
        <w:jc w:val="both"/>
      </w:pPr>
      <w:r>
        <w:rPr>
          <w:rFonts w:ascii="Calibri" w:cs="Calibri" w:eastAsia="Calibri" w:hAnsi="Calibri"/>
          <w:sz w:val="19"/>
          <w:szCs w:val="19"/>
        </w:rPr>
        <w:t xml:space="preserve">The employment contract must be registered with MOHRE within 14 days of work permit approval. Employers who treat registration as an administrative afterthought miss the window.</w:t>
      </w:r>
    </w:p>
    <w:p>
      <w:pPr>
        <w:keepNext/>
        <w:spacing w:after="40" w:before="140"/>
      </w:pPr>
      <w:r>
        <w:rPr>
          <w:rFonts w:ascii="Calibri" w:cs="Calibri" w:eastAsia="Calibri" w:hAnsi="Calibri"/>
          <w:b/>
          <w:bCs/>
          <w:color w:val="14161B"/>
          <w:sz w:val="20"/>
          <w:szCs w:val="20"/>
        </w:rPr>
        <w:t xml:space="preserve">Every cost is the employer’s</w:t>
      </w:r>
    </w:p>
    <w:p>
      <w:pPr>
        <w:spacing w:after="60" w:line="264"/>
        <w:jc w:val="both"/>
      </w:pPr>
      <w:r>
        <w:rPr>
          <w:rFonts w:ascii="Calibri" w:cs="Calibri" w:eastAsia="Calibri" w:hAnsi="Calibri"/>
          <w:sz w:val="19"/>
          <w:szCs w:val="19"/>
        </w:rPr>
        <w:t xml:space="preserve">Permit, entry permit, medical, Emirates ID, visa, insurance and recruitment fees are all employer costs by law, and cannot be recovered directly or indirectly. Repayment clauses on early departure, salary structured to absorb the cost, and agency fee rebates all fall within the prohibition.</w:t>
      </w:r>
    </w:p>
    <w:p>
      <w:pPr>
        <w:keepNext/>
        <w:spacing w:after="40" w:before="140"/>
      </w:pPr>
      <w:r>
        <w:rPr>
          <w:rFonts w:ascii="Calibri" w:cs="Calibri" w:eastAsia="Calibri" w:hAnsi="Calibri"/>
          <w:b/>
          <w:bCs/>
          <w:color w:val="14161B"/>
          <w:sz w:val="20"/>
          <w:szCs w:val="20"/>
        </w:rPr>
        <w:t xml:space="preserve">Attestation of qualifications takes weeks</w:t>
      </w:r>
    </w:p>
    <w:p>
      <w:pPr>
        <w:spacing w:after="60" w:line="264"/>
        <w:jc w:val="both"/>
      </w:pPr>
      <w:r>
        <w:rPr>
          <w:rFonts w:ascii="Calibri" w:cs="Calibri" w:eastAsia="Calibri" w:hAnsi="Calibri"/>
          <w:sz w:val="19"/>
          <w:szCs w:val="19"/>
        </w:rPr>
        <w:t xml:space="preserve">Where the role requires an attested degree, the process runs through the issuing country, the UAE embassy and the Ministry of Foreign Affairs. Start it before the offer, not after the permit application is rejected for a missing document.</w:t>
      </w:r>
    </w:p>
    <w:p>
      <w:pPr>
        <w:keepNext/>
        <w:spacing w:after="40" w:before="140"/>
      </w:pPr>
      <w:r>
        <w:rPr>
          <w:rFonts w:ascii="Calibri" w:cs="Calibri" w:eastAsia="Calibri" w:hAnsi="Calibri"/>
          <w:b/>
          <w:bCs/>
          <w:color w:val="14161B"/>
          <w:sz w:val="20"/>
          <w:szCs w:val="20"/>
        </w:rPr>
        <w:t xml:space="preserve">Skill level affects more than the fee</w:t>
      </w:r>
    </w:p>
    <w:p>
      <w:pPr>
        <w:spacing w:after="60" w:line="264"/>
        <w:jc w:val="both"/>
      </w:pPr>
      <w:r>
        <w:rPr>
          <w:rFonts w:ascii="Calibri" w:cs="Calibri" w:eastAsia="Calibri" w:hAnsi="Calibri"/>
          <w:sz w:val="19"/>
          <w:szCs w:val="19"/>
        </w:rPr>
        <w:t xml:space="preserve">MOHRE skill classification influences the permit category, the fees, and the grace period the employee receives after cancellation. Determine it at the outset rather than discovering it at exit.</w:t>
      </w:r>
    </w:p>
    <w:p>
      <w:pPr>
        <w:keepNext/>
        <w:spacing w:after="40" w:before="140"/>
      </w:pPr>
      <w:r>
        <w:rPr>
          <w:rFonts w:ascii="Calibri" w:cs="Calibri" w:eastAsia="Calibri" w:hAnsi="Calibri"/>
          <w:b/>
          <w:bCs/>
          <w:color w:val="14161B"/>
          <w:sz w:val="20"/>
          <w:szCs w:val="20"/>
        </w:rPr>
        <w:t xml:space="preserve">Do not hold passports</w:t>
      </w:r>
    </w:p>
    <w:p>
      <w:pPr>
        <w:spacing w:after="60" w:line="264"/>
        <w:jc w:val="both"/>
      </w:pPr>
      <w:r>
        <w:rPr>
          <w:rFonts w:ascii="Calibri" w:cs="Calibri" w:eastAsia="Calibri" w:hAnsi="Calibri"/>
          <w:sz w:val="19"/>
          <w:szCs w:val="19"/>
        </w:rPr>
        <w:t xml:space="preserve">Retaining an employee’s passport is prohibited. Employers sometimes do it believing it prevents absconding. It does not, and it is a clear contravention that indicates other weaknesses to an inspector.</w:t>
      </w:r>
    </w:p>
    <w:p>
      <w:pPr>
        <w:keepNext/>
        <w:spacing w:after="40" w:before="140"/>
      </w:pPr>
      <w:r>
        <w:rPr>
          <w:rFonts w:ascii="Calibri" w:cs="Calibri" w:eastAsia="Calibri" w:hAnsi="Calibri"/>
          <w:b/>
          <w:bCs/>
          <w:color w:val="14161B"/>
          <w:sz w:val="20"/>
          <w:szCs w:val="20"/>
        </w:rPr>
        <w:t xml:space="preserve">Settle before cancelling</w:t>
      </w:r>
    </w:p>
    <w:p>
      <w:pPr>
        <w:spacing w:after="60" w:line="264"/>
        <w:jc w:val="both"/>
      </w:pPr>
      <w:r>
        <w:rPr>
          <w:rFonts w:ascii="Calibri" w:cs="Calibri" w:eastAsia="Calibri" w:hAnsi="Calibri"/>
          <w:sz w:val="19"/>
          <w:szCs w:val="19"/>
        </w:rPr>
        <w:t xml:space="preserve">All entitlements are due within 14 days of the last working day, and settlement is expected as part of the cancellation process. Cancelling the visa while money is outstanding leaves the employee without status and the employer facing a complaint.</w:t>
      </w:r>
    </w:p>
    <w:p>
      <w:pPr>
        <w:keepNext/>
        <w:spacing w:after="40" w:before="140"/>
      </w:pPr>
      <w:r>
        <w:rPr>
          <w:rFonts w:ascii="Calibri" w:cs="Calibri" w:eastAsia="Calibri" w:hAnsi="Calibri"/>
          <w:b/>
          <w:bCs/>
          <w:color w:val="14161B"/>
          <w:sz w:val="20"/>
          <w:szCs w:val="20"/>
        </w:rPr>
        <w:t xml:space="preserve">Explain the grace period</w:t>
      </w:r>
    </w:p>
    <w:p>
      <w:pPr>
        <w:spacing w:after="60" w:line="264"/>
        <w:jc w:val="both"/>
      </w:pPr>
      <w:r>
        <w:rPr>
          <w:rFonts w:ascii="Calibri" w:cs="Calibri" w:eastAsia="Calibri" w:hAnsi="Calibri"/>
          <w:sz w:val="19"/>
          <w:szCs w:val="19"/>
        </w:rPr>
        <w:t xml:space="preserve">After cancellation the former employee has a limited period to remain lawfully, varying by category, with daily fines for overstaying. Telling them clearly costs nothing and prevents a genuinely damaging outcome for someone who has just lost their job.</w:t>
      </w:r>
    </w:p>
    <w:p>
      <w:pPr>
        <w:keepNext/>
        <w:spacing w:after="40" w:before="140"/>
      </w:pPr>
      <w:r>
        <w:rPr>
          <w:rFonts w:ascii="Calibri" w:cs="Calibri" w:eastAsia="Calibri" w:hAnsi="Calibri"/>
          <w:b/>
          <w:bCs/>
          <w:color w:val="14161B"/>
          <w:sz w:val="20"/>
          <w:szCs w:val="20"/>
        </w:rPr>
        <w:t xml:space="preserve">Golden Visa does not remove employer obligations</w:t>
      </w:r>
    </w:p>
    <w:p>
      <w:pPr>
        <w:spacing w:after="60" w:line="264"/>
        <w:jc w:val="both"/>
      </w:pPr>
      <w:r>
        <w:rPr>
          <w:rFonts w:ascii="Calibri" w:cs="Calibri" w:eastAsia="Calibri" w:hAnsi="Calibri"/>
          <w:sz w:val="19"/>
          <w:szCs w:val="19"/>
        </w:rPr>
        <w:t xml:space="preserve">A Golden Visa holder taking employment still needs a work permit, and the employer still owes WPS, health insurance, gratuity and every other obligation. The visa changes sponsorship, not compliance — and the assumption otherwise is common enough that penalties have followed.</w:t>
      </w:r>
    </w:p>
    <w:p>
      <w:pPr>
        <w:keepNext/>
        <w:spacing w:after="40" w:before="140"/>
      </w:pPr>
      <w:r>
        <w:rPr>
          <w:rFonts w:ascii="Calibri" w:cs="Calibri" w:eastAsia="Calibri" w:hAnsi="Calibri"/>
          <w:b/>
          <w:bCs/>
          <w:color w:val="14161B"/>
          <w:sz w:val="20"/>
          <w:szCs w:val="20"/>
        </w:rPr>
        <w:t xml:space="preserve">Renew early</w:t>
      </w:r>
    </w:p>
    <w:p>
      <w:pPr>
        <w:spacing w:after="60" w:line="264"/>
        <w:jc w:val="both"/>
      </w:pPr>
      <w:r>
        <w:rPr>
          <w:rFonts w:ascii="Calibri" w:cs="Calibri" w:eastAsia="Calibri" w:hAnsi="Calibri"/>
          <w:sz w:val="19"/>
          <w:szCs w:val="19"/>
        </w:rPr>
        <w:t xml:space="preserve">A lapsed permit or visa creates an immediate compliance problem for both parties and can block other transactions at the establishment file. Diarise at issuance with a reminder six months out, not one month.</w:t>
      </w:r>
    </w:p>
    <w:p>
      <w:pPr>
        <w:keepNext/>
        <w:spacing w:after="40" w:before="140"/>
      </w:pPr>
      <w:r>
        <w:rPr>
          <w:rFonts w:ascii="Calibri" w:cs="Calibri" w:eastAsia="Calibri" w:hAnsi="Calibri"/>
          <w:b/>
          <w:bCs/>
          <w:color w:val="14161B"/>
          <w:sz w:val="20"/>
          <w:szCs w:val="20"/>
        </w:rPr>
        <w:t xml:space="preserve">ILOE is the employee’s obligation</w:t>
      </w:r>
    </w:p>
    <w:p>
      <w:pPr>
        <w:spacing w:after="60" w:line="264"/>
        <w:jc w:val="both"/>
      </w:pPr>
      <w:r>
        <w:rPr>
          <w:rFonts w:ascii="Calibri" w:cs="Calibri" w:eastAsia="Calibri" w:hAnsi="Calibri"/>
          <w:sz w:val="19"/>
          <w:szCs w:val="19"/>
        </w:rPr>
        <w:t xml:space="preserve">Subscription to the unemployment insurance scheme falls on the employee, not the employer, but a failure to subscribe attracts a fine and can block a future work permit when they change jobs. Explain it during onboarding — it costs the employer nothing and prevents a problem later.</w:t>
      </w:r>
    </w:p>
    <w:p>
      <w:pPr>
        <w:keepNext/>
        <w:spacing w:after="40" w:before="140"/>
      </w:pPr>
      <w:r>
        <w:rPr>
          <w:rFonts w:ascii="Calibri" w:cs="Calibri" w:eastAsia="Calibri" w:hAnsi="Calibri"/>
          <w:b/>
          <w:bCs/>
          <w:color w:val="14161B"/>
          <w:sz w:val="20"/>
          <w:szCs w:val="20"/>
        </w:rPr>
        <w:t xml:space="preserve">Transfers differ from overseas recruitment</w:t>
      </w:r>
    </w:p>
    <w:p>
      <w:pPr>
        <w:spacing w:after="60" w:line="264"/>
        <w:jc w:val="both"/>
      </w:pPr>
      <w:r>
        <w:rPr>
          <w:rFonts w:ascii="Calibri" w:cs="Calibri" w:eastAsia="Calibri" w:hAnsi="Calibri"/>
          <w:sz w:val="19"/>
          <w:szCs w:val="19"/>
        </w:rPr>
        <w:t xml:space="preserve">Hiring someone already in the UAE on another employer’s permit follows a transfer route with its own requirements and possible restrictions. Establish the candidate’s current status before assuming the standard process applies.</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requirements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Permit categories, fees, visa validity, grace periods, medical requirements and free zone procedures all change — confirm the current position with MOHRE, ICP, GDRFA or the relevant free zone authority before each hire.</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2026-08-23T16:28:32.820Z</dcterms:created>
  <dcterms:modified xsi:type="dcterms:W3CDTF">2026-08-23T16:28:32.820Z</dcterms:modified>
</cp:coreProperties>
</file>

<file path=docProps/custom.xml><?xml version="1.0" encoding="utf-8"?>
<Properties xmlns="http://schemas.openxmlformats.org/officeDocument/2006/custom-properties" xmlns:vt="http://schemas.openxmlformats.org/officeDocument/2006/docPropsVTypes"/>
</file>