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WORK MODELS</w:t>
      </w:r>
    </w:p>
    <w:p>
      <w:pPr>
        <w:spacing w:after="260"/>
        <w:jc w:val="center"/>
      </w:pPr>
      <w:r>
        <w:rPr>
          <w:rFonts w:ascii="Calibri" w:cs="Calibri" w:eastAsia="Calibri" w:hAnsi="Calibri"/>
          <w:i/>
          <w:iCs/>
          <w:color w:val="6E7480"/>
          <w:sz w:val="19"/>
          <w:szCs w:val="19"/>
        </w:rPr>
        <w:t xml:space="preserve">Part-time, temporary, flexible, remote and job sharing</w:t>
      </w:r>
    </w:p>
    <w:p>
      <w:pPr>
        <w:spacing w:after="180" w:before="0" w:line="276"/>
        <w:jc w:val="both"/>
      </w:pPr>
      <w:r>
        <w:rPr>
          <w:rFonts w:ascii="Calibri" w:cs="Calibri" w:eastAsia="Calibri" w:hAnsi="Calibri"/>
          <w:i/>
          <w:iCs/>
          <w:color w:val="6E7480"/>
          <w:sz w:val="21"/>
          <w:szCs w:val="21"/>
        </w:rPr>
        <w:t xml:space="preserve">Federal Decree-Law 33/2021 recognises defined </w:t>
      </w:r>
      <w:r>
        <w:rPr>
          <w:rFonts w:ascii="Calibri" w:cs="Calibri" w:eastAsia="Calibri" w:hAnsi="Calibri"/>
          <w:b/>
          <w:bCs/>
          <w:i/>
          <w:iCs/>
          <w:color w:val="6E7480"/>
          <w:sz w:val="21"/>
          <w:szCs w:val="21"/>
        </w:rPr>
        <w:t xml:space="preserve">work models</w:t>
      </w:r>
      <w:r>
        <w:rPr>
          <w:rFonts w:ascii="Calibri" w:cs="Calibri" w:eastAsia="Calibri" w:hAnsi="Calibri"/>
          <w:i/>
          <w:iCs/>
          <w:color w:val="6E7480"/>
          <w:sz w:val="21"/>
          <w:szCs w:val="21"/>
        </w:rPr>
        <w:t xml:space="preserve"> beyond full-time employment — and several of them require their own </w:t>
      </w:r>
      <w:r>
        <w:rPr>
          <w:rFonts w:ascii="Calibri" w:cs="Calibri" w:eastAsia="Calibri" w:hAnsi="Calibri"/>
          <w:b/>
          <w:bCs/>
          <w:i/>
          <w:iCs/>
          <w:color w:val="6E7480"/>
          <w:sz w:val="21"/>
          <w:szCs w:val="21"/>
        </w:rPr>
        <w:t xml:space="preserve">permit type</w:t>
      </w:r>
      <w:r>
        <w:rPr>
          <w:rFonts w:ascii="Calibri" w:cs="Calibri" w:eastAsia="Calibri" w:hAnsi="Calibri"/>
          <w:i/>
          <w:iCs/>
          <w:color w:val="6E7480"/>
          <w:sz w:val="21"/>
          <w:szCs w:val="21"/>
        </w:rPr>
        <w:t xml:space="preserve">. An employer running an informal part-time or remote arrangement without the corresponding permit has an employee working outside the terms of their authorisation.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Model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 time / Part time / Temporary / Flexible / Job share / Condensed / Remote]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Permit type held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[CONFIRM — must match the model]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MOHRE contract reflects the model?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Hours or days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Salary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 basic </w:t>
            </w: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Start and end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Gratuity basis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[Pro-rated per the model]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THE MODELS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734"/>
        <w:gridCol w:w="3084"/>
        <w:gridCol w:w="2120"/>
        <w:gridCol w:w="2700"/>
      </w:tblGrid>
      <w:tr>
        <w:trPr>
          <w:cantSplit/>
          <w:tblHeader/>
        </w:trPr>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Model</w:t>
            </w: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it is</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Permit</w:t>
            </w:r>
          </w:p>
        </w:tc>
        <w:tc>
          <w:tcPr>
            <w:tcW w:type="dxa" w:w="27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Watch</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Full time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One employer, standard hours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Standard work permit</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default</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Part time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Defined reduced hours, may work for more than one employer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Part-time work permit</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Entitlements pro-rated; each employer needs its own permit</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Temporary</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 a defined project or period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Standard or temporary permit</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end date must be real</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Flexible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Hours or days vary with workload, by agreement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 the model]</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Must not become unpaid availability</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Job sharing</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Two employees share one role and its duties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 the model]</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Each has their own contract and entitlements</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Condensed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Full hours worked over fewer days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 the model]</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Daily hours limits still apply</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Remote or hybrid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Work performed away from the employer’s premises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 the requirement]</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Remote from outside the UAE raises separate questions</w:t>
            </w:r>
          </w:p>
        </w:tc>
      </w:tr>
      <w:tr>
        <w:trPr>
          <w:cantSplit/>
        </w:trP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Freelance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Independent, not employment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Freelance permit</w:t>
            </w:r>
            <w:r>
              <w:rPr>
                <w:rFonts w:ascii="Calibri" w:cs="Calibri" w:eastAsia="Calibri" w:hAnsi="Calibri"/>
                <w:sz w:val="17"/>
                <w:szCs w:val="17"/>
              </w:rPr>
              <w:t xml:space="preserve"> — held by the individual</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an employee; different document entirely</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Confirm the permit type that corresponds to the model before starting the arrangement.</w:t>
      </w:r>
      <w:r>
        <w:rPr>
          <w:rFonts w:ascii="Calibri" w:cs="Calibri" w:eastAsia="Calibri" w:hAnsi="Calibri"/>
          <w:sz w:val="21"/>
          <w:szCs w:val="21"/>
        </w:rPr>
        <w:t xml:space="preserve"> The categories and their permit requirements have been introduced and refined over time — check the current position with MOHRE rather than assuming a standard permit covers everything.</w:t>
      </w:r>
    </w:p>
    <w:p>
      <w:pPr>
        <w:keepNext/>
        <w:spacing w:after="120" w:before="280"/>
        <w:outlineLvl w:val="0"/>
      </w:pPr>
      <w:r>
        <w:rPr>
          <w:rFonts w:ascii="Calibri" w:cs="Calibri" w:eastAsia="Calibri" w:hAnsi="Calibri"/>
          <w:b/>
          <w:bCs/>
          <w:color w:val="14161B"/>
          <w:sz w:val="22"/>
          <w:szCs w:val="22"/>
        </w:rPr>
        <w:t xml:space="preserve">2. PART TIME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Employee works </w:t>
      </w:r>
      <w:r>
        <w:rPr>
          <w:rFonts w:ascii="Calibri" w:cs="Calibri" w:eastAsia="Calibri" w:hAnsi="Calibri"/>
          <w:b/>
          <w:bCs/>
          <w:sz w:val="21"/>
          <w:szCs w:val="21"/>
        </w:rPr>
        <w:t xml:space="preserve">[NUMBER]</w:t>
      </w:r>
      <w:r>
        <w:rPr>
          <w:rFonts w:ascii="Calibri" w:cs="Calibri" w:eastAsia="Calibri" w:hAnsi="Calibri"/>
          <w:sz w:val="21"/>
          <w:szCs w:val="21"/>
        </w:rPr>
        <w:t xml:space="preserve"> hours per week, on </w:t>
      </w:r>
      <w:r>
        <w:rPr>
          <w:rFonts w:ascii="Calibri" w:cs="Calibri" w:eastAsia="Calibri" w:hAnsi="Calibri"/>
          <w:b/>
          <w:bCs/>
          <w:sz w:val="21"/>
          <w:szCs w:val="21"/>
        </w:rPr>
        <w:t xml:space="preserve">[DAYS]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A part-time employee may work for more than one employer, </w:t>
      </w:r>
      <w:r>
        <w:rPr>
          <w:rFonts w:ascii="Calibri" w:cs="Calibri" w:eastAsia="Calibri" w:hAnsi="Calibri"/>
          <w:b/>
          <w:bCs/>
          <w:sz w:val="21"/>
          <w:szCs w:val="21"/>
        </w:rPr>
        <w:t xml:space="preserve">each holding the appropriate permit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Entitlements are </w:t>
      </w:r>
      <w:r>
        <w:rPr>
          <w:rFonts w:ascii="Calibri" w:cs="Calibri" w:eastAsia="Calibri" w:hAnsi="Calibri"/>
          <w:b/>
          <w:bCs/>
          <w:sz w:val="21"/>
          <w:szCs w:val="21"/>
        </w:rPr>
        <w:t xml:space="preserve">pro-rated</w:t>
      </w:r>
      <w:r>
        <w:rPr>
          <w:rFonts w:ascii="Calibri" w:cs="Calibri" w:eastAsia="Calibri" w:hAnsi="Calibri"/>
          <w:sz w:val="21"/>
          <w:szCs w:val="21"/>
        </w:rPr>
        <w:t xml:space="preserve"> by reference to hours worked, including annual leave and end-of-service gratuity.</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Salary is paid through </w:t>
      </w:r>
      <w:r>
        <w:rPr>
          <w:rFonts w:ascii="Calibri" w:cs="Calibri" w:eastAsia="Calibri" w:hAnsi="Calibri"/>
          <w:b/>
          <w:bCs/>
          <w:sz w:val="21"/>
          <w:szCs w:val="21"/>
        </w:rPr>
        <w:t xml:space="preserve">WPS</w:t>
      </w:r>
      <w:r>
        <w:rPr>
          <w:rFonts w:ascii="Calibri" w:cs="Calibri" w:eastAsia="Calibri" w:hAnsi="Calibri"/>
          <w:sz w:val="21"/>
          <w:szCs w:val="21"/>
        </w:rPr>
        <w:t xml:space="preserve"> in the ordinary way and must match the registered figure.</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i/>
          <w:iCs/>
          <w:sz w:val="21"/>
          <w:szCs w:val="21"/>
        </w:rPr>
        <w:t xml:space="preserve">Confirm the pro-rating basis for gratuity against the current rules. Employers commonly apply a full-time formula to a part-time employee, or none at all.</w:t>
      </w:r>
    </w:p>
    <w:p>
      <w:pPr>
        <w:keepNext/>
        <w:spacing w:after="120" w:before="280"/>
        <w:outlineLvl w:val="0"/>
      </w:pPr>
      <w:r>
        <w:rPr>
          <w:rFonts w:ascii="Calibri" w:cs="Calibri" w:eastAsia="Calibri" w:hAnsi="Calibri"/>
          <w:b/>
          <w:bCs/>
          <w:color w:val="14161B"/>
          <w:sz w:val="22"/>
          <w:szCs w:val="22"/>
        </w:rPr>
        <w:t xml:space="preserve">3. FLEXIBLE AND CONDENSED</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Under a </w:t>
      </w:r>
      <w:r>
        <w:rPr>
          <w:rFonts w:ascii="Calibri" w:cs="Calibri" w:eastAsia="Calibri" w:hAnsi="Calibri"/>
          <w:b/>
          <w:bCs/>
          <w:sz w:val="21"/>
          <w:szCs w:val="21"/>
        </w:rPr>
        <w:t xml:space="preserve">flexible</w:t>
      </w:r>
      <w:r>
        <w:rPr>
          <w:rFonts w:ascii="Calibri" w:cs="Calibri" w:eastAsia="Calibri" w:hAnsi="Calibri"/>
          <w:sz w:val="21"/>
          <w:szCs w:val="21"/>
        </w:rPr>
        <w:t xml:space="preserve"> arrangement, working hours or days vary according to workload as agreed in advance. Hours must be recorded and paid.</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i/>
          <w:iCs/>
          <w:sz w:val="21"/>
          <w:szCs w:val="21"/>
        </w:rPr>
        <w:t xml:space="preserve">A flexible model must not become unpaid availability. If the employee must be reachable, that is working time or it is a defined on-call arrangement — not an unwritten expectation.</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Under a </w:t>
      </w:r>
      <w:r>
        <w:rPr>
          <w:rFonts w:ascii="Calibri" w:cs="Calibri" w:eastAsia="Calibri" w:hAnsi="Calibri"/>
          <w:b/>
          <w:bCs/>
          <w:sz w:val="21"/>
          <w:szCs w:val="21"/>
        </w:rPr>
        <w:t xml:space="preserve">condensed</w:t>
      </w:r>
      <w:r>
        <w:rPr>
          <w:rFonts w:ascii="Calibri" w:cs="Calibri" w:eastAsia="Calibri" w:hAnsi="Calibri"/>
          <w:sz w:val="21"/>
          <w:szCs w:val="21"/>
        </w:rPr>
        <w:t xml:space="preserve"> arrangement, full contracted hours are worked over fewer days. </w:t>
      </w:r>
      <w:r>
        <w:rPr>
          <w:rFonts w:ascii="Calibri" w:cs="Calibri" w:eastAsia="Calibri" w:hAnsi="Calibri"/>
          <w:b/>
          <w:bCs/>
          <w:sz w:val="21"/>
          <w:szCs w:val="21"/>
        </w:rPr>
        <w:t xml:space="preserve">Statutory daily hours limits and rest entitlements continue to apply</w:t>
      </w:r>
      <w:r>
        <w:rPr>
          <w:rFonts w:ascii="Calibri" w:cs="Calibri" w:eastAsia="Calibri" w:hAnsi="Calibri"/>
          <w:sz w:val="21"/>
          <w:szCs w:val="21"/>
        </w:rPr>
        <w:t xml:space="preserve">, and overtime rules are unaffected.</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Weekly rest day entitlement is unchanged by either model.</w:t>
      </w:r>
    </w:p>
    <w:p>
      <w:pPr>
        <w:keepNext/>
        <w:spacing w:after="120" w:before="280"/>
        <w:outlineLvl w:val="0"/>
      </w:pPr>
      <w:r>
        <w:rPr>
          <w:rFonts w:ascii="Calibri" w:cs="Calibri" w:eastAsia="Calibri" w:hAnsi="Calibri"/>
          <w:b/>
          <w:bCs/>
          <w:color w:val="14161B"/>
          <w:sz w:val="22"/>
          <w:szCs w:val="22"/>
        </w:rPr>
        <w:t xml:space="preserve">4. REMOTE AND HYBRID</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Where the Employee works from a location other than the Company’s premises within the UAE, the Company remains responsible for health and safety so far as reasonably practicable, for equipment provided, and for data security.</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Employee shall have a suitable working environment, protect Company information, and remain contactable during agreed hours.</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Working from outside the UAE is a different question entirely.</w:t>
      </w:r>
      <w:r>
        <w:rPr>
          <w:rFonts w:ascii="Calibri" w:cs="Calibri" w:eastAsia="Calibri" w:hAnsi="Calibri"/>
          <w:sz w:val="21"/>
          <w:szCs w:val="21"/>
        </w:rPr>
        <w:t xml:space="preserve"> An employee working remotely from another country may create tax presence, social security obligations, employment law exposure and immigration issues in that country, and may affect their UAE residence status.</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i/>
          <w:iCs/>
          <w:sz w:val="21"/>
          <w:szCs w:val="21"/>
        </w:rPr>
        <w:t xml:space="preserve">Do not agree to "work from home for a few months in another country" without advice. It is the most common informal arrangement with the most disproportionate consequences.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Question</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Before agreeing</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How long, and how often?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Short trips differ from months</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Which country?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Rules differ entirely by destination</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Does it create a taxable presence for the Company?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Take tax advice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Does local employment law attach to the employee?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It can, quickly</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Social security obligations in that country?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Frequently overlooked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Does their UAE residence remain valid?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Extended absence can affect it</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is the data being accessed from?</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cross-border transfer question</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the work permitted on their visa in that country?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Working on a tourist entry is common and unlawful</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SETTING UP AN ARRANGEMENT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433"/>
        <w:gridCol w:w="3276"/>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Identify the correct model</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"informal reduced hours"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 the permit type required and obtain it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arrangement begins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Amend the MOHRE contract through the ministry</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Written consent plus formal amendment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hours, days and salary in writing</w:t>
            </w:r>
          </w:p>
        </w:tc>
        <w:tc>
          <w:tcPr>
            <w:tcW w:type="dxa" w:w="3276"/>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Recalculate entitlements on the pro-rated basis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Leave, gratuity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Update WPS to the registered salary for the model</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Must match</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health insurance continues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Mandatory regardless of hours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Update the Emiratisation base where headcount classification changes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Mainland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Agree recording of hours and how overtime is handled</w:t>
            </w:r>
          </w:p>
        </w:tc>
        <w:tc>
          <w:tcPr>
            <w:tcW w:type="dxa" w:w="3276"/>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Set a review date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Arrangements drift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A reduced-hours or reduced-salary arrangement agreed informally is an underpayment against the registered contract</w:t>
      </w:r>
      <w:r>
        <w:rPr>
          <w:rFonts w:ascii="Calibri" w:cs="Calibri" w:eastAsia="Calibri" w:hAnsi="Calibri"/>
          <w:sz w:val="21"/>
          <w:szCs w:val="21"/>
        </w:rPr>
        <w:t xml:space="preserve">, however willingly the employee agreed. It shows in the WPS record without anyone complaining. Process the amendment first.</w:t>
      </w:r>
    </w:p>
    <w:p>
      <w:pPr>
        <w:keepNext/>
        <w:spacing w:after="120" w:before="280"/>
        <w:outlineLvl w:val="0"/>
      </w:pPr>
      <w:r>
        <w:rPr>
          <w:rFonts w:ascii="Calibri" w:cs="Calibri" w:eastAsia="Calibri" w:hAnsi="Calibri"/>
          <w:b/>
          <w:bCs/>
          <w:color w:val="14161B"/>
          <w:sz w:val="22"/>
          <w:szCs w:val="22"/>
        </w:rPr>
        <w:t xml:space="preserve">6. VARIATION LETTER</w:t>
      </w:r>
    </w:p>
    <w:p>
      <w:pPr>
        <w:spacing w:after="12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0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Change to your working arrangement</w:t>
      </w:r>
    </w:p>
    <w:p>
      <w:pPr>
        <w:spacing w:after="110" w:before="0" w:line="276"/>
        <w:jc w:val="both"/>
      </w:pPr>
      <w:r>
        <w:rPr>
          <w:rFonts w:ascii="Calibri" w:cs="Calibri" w:eastAsia="Calibri" w:hAnsi="Calibri"/>
          <w:sz w:val="21"/>
          <w:szCs w:val="21"/>
        </w:rPr>
        <w:t xml:space="preserve">Further to our discussion, we have agreed that from </w:t>
      </w:r>
      <w:r>
        <w:rPr>
          <w:rFonts w:ascii="Calibri" w:cs="Calibri" w:eastAsia="Calibri" w:hAnsi="Calibri"/>
          <w:b/>
          <w:bCs/>
          <w:sz w:val="21"/>
          <w:szCs w:val="21"/>
        </w:rPr>
        <w:t xml:space="preserve">[DATE]</w:t>
      </w:r>
      <w:r>
        <w:rPr>
          <w:rFonts w:ascii="Calibri" w:cs="Calibri" w:eastAsia="Calibri" w:hAnsi="Calibri"/>
          <w:sz w:val="21"/>
          <w:szCs w:val="21"/>
        </w:rPr>
        <w:t xml:space="preserve"> your working arrangement will change to </w:t>
      </w:r>
      <w:r>
        <w:rPr>
          <w:rFonts w:ascii="Calibri" w:cs="Calibri" w:eastAsia="Calibri" w:hAnsi="Calibri"/>
          <w:b/>
          <w:bCs/>
          <w:sz w:val="21"/>
          <w:szCs w:val="21"/>
        </w:rPr>
        <w:t xml:space="preserve">[MODEL]</w:t>
      </w:r>
      <w:r>
        <w:rPr>
          <w:rFonts w:ascii="Calibri" w:cs="Calibri" w:eastAsia="Calibri" w:hAnsi="Calibri"/>
          <w:sz w:val="21"/>
          <w:szCs w:val="21"/>
        </w:rPr>
        <w:t xml:space="preserve">.</w:t>
      </w:r>
    </w:p>
    <w:p>
      <w:pPr>
        <w:spacing w:after="110" w:before="0" w:line="276"/>
        <w:jc w:val="both"/>
      </w:pPr>
      <w:r>
        <w:rPr>
          <w:rFonts w:ascii="Calibri" w:cs="Calibri" w:eastAsia="Calibri" w:hAnsi="Calibri"/>
          <w:b/>
          <w:bCs/>
          <w:sz w:val="21"/>
          <w:szCs w:val="21"/>
        </w:rPr>
        <w:t xml:space="preserve">Your hours</w:t>
      </w:r>
      <w:r>
        <w:rPr>
          <w:rFonts w:ascii="Calibri" w:cs="Calibri" w:eastAsia="Calibri" w:hAnsi="Calibri"/>
          <w:sz w:val="21"/>
          <w:szCs w:val="21"/>
        </w:rPr>
        <w:t xml:space="preserve"> will be </w:t>
      </w:r>
      <w:r>
        <w:rPr>
          <w:rFonts w:ascii="Calibri" w:cs="Calibri" w:eastAsia="Calibri" w:hAnsi="Calibri"/>
          <w:b/>
          <w:bCs/>
          <w:sz w:val="21"/>
          <w:szCs w:val="21"/>
        </w:rPr>
        <w:t xml:space="preserve">[DETAIL]</w:t>
      </w:r>
      <w:r>
        <w:rPr>
          <w:rFonts w:ascii="Calibri" w:cs="Calibri" w:eastAsia="Calibri" w:hAnsi="Calibri"/>
          <w:sz w:val="21"/>
          <w:szCs w:val="21"/>
        </w:rPr>
        <w:t xml:space="preserve">. </w:t>
      </w:r>
      <w:r>
        <w:rPr>
          <w:rFonts w:ascii="Calibri" w:cs="Calibri" w:eastAsia="Calibri" w:hAnsi="Calibri"/>
          <w:b/>
          <w:bCs/>
          <w:sz w:val="21"/>
          <w:szCs w:val="21"/>
        </w:rPr>
        <w:t xml:space="preserve">Your salary</w:t>
      </w:r>
      <w:r>
        <w:rPr>
          <w:rFonts w:ascii="Calibri" w:cs="Calibri" w:eastAsia="Calibri" w:hAnsi="Calibri"/>
          <w:sz w:val="21"/>
          <w:szCs w:val="21"/>
        </w:rPr>
        <w:t xml:space="preserve"> will be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per month, of which basic salary is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paid through WPS as before.</w:t>
      </w:r>
    </w:p>
    <w:p>
      <w:pPr>
        <w:spacing w:after="110" w:before="0" w:line="276"/>
        <w:jc w:val="both"/>
      </w:pPr>
      <w:r>
        <w:rPr>
          <w:rFonts w:ascii="Calibri" w:cs="Calibri" w:eastAsia="Calibri" w:hAnsi="Calibri"/>
          <w:b/>
          <w:bCs/>
          <w:sz w:val="21"/>
          <w:szCs w:val="21"/>
        </w:rPr>
        <w:t xml:space="preserve">Your entitlements</w:t>
      </w:r>
      <w:r>
        <w:rPr>
          <w:rFonts w:ascii="Calibri" w:cs="Calibri" w:eastAsia="Calibri" w:hAnsi="Calibri"/>
          <w:sz w:val="21"/>
          <w:szCs w:val="21"/>
        </w:rPr>
        <w:t xml:space="preserve"> — annual leave and end-of-service gratuity — will be calculated on a pro-rated basis reflecting your hours. Your health insurance continues unchanged.</w:t>
      </w:r>
    </w:p>
    <w:p>
      <w:pPr>
        <w:spacing w:after="110" w:before="0" w:line="276"/>
        <w:jc w:val="both"/>
      </w:pPr>
      <w:r>
        <w:rPr>
          <w:rFonts w:ascii="Calibri" w:cs="Calibri" w:eastAsia="Calibri" w:hAnsi="Calibri"/>
          <w:b/>
          <w:bCs/>
          <w:sz w:val="21"/>
          <w:szCs w:val="21"/>
        </w:rPr>
        <w:t xml:space="preserve">Formalities.</w:t>
      </w:r>
      <w:r>
        <w:rPr>
          <w:rFonts w:ascii="Calibri" w:cs="Calibri" w:eastAsia="Calibri" w:hAnsi="Calibri"/>
          <w:sz w:val="21"/>
          <w:szCs w:val="21"/>
        </w:rPr>
        <w:t xml:space="preserve"> This change will be recorded through the ministry’s contract amendment service and, where required, a corresponding work permit will be obtained. The change takes effect once those steps are complete.</w:t>
      </w:r>
    </w:p>
    <w:p>
      <w:pPr>
        <w:spacing w:after="140" w:before="0" w:line="276"/>
        <w:jc w:val="both"/>
      </w:pPr>
      <w:r>
        <w:rPr>
          <w:rFonts w:ascii="Calibri" w:cs="Calibri" w:eastAsia="Calibri" w:hAnsi="Calibri"/>
          <w:sz w:val="21"/>
          <w:szCs w:val="21"/>
        </w:rPr>
        <w:t xml:space="preserve">All other terms of your employment remain unchanged. Please sign below to confirm your agreement.</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Agreed — </w:t>
            </w: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Match the permit to the model</w:t>
      </w:r>
    </w:p>
    <w:p>
      <w:pPr>
        <w:spacing w:after="60" w:line="264"/>
        <w:jc w:val="both"/>
      </w:pPr>
      <w:r>
        <w:rPr>
          <w:rFonts w:ascii="Calibri" w:cs="Calibri" w:eastAsia="Calibri" w:hAnsi="Calibri"/>
          <w:sz w:val="19"/>
          <w:szCs w:val="19"/>
        </w:rPr>
        <w:t xml:space="preserve">Several of the recognised work models carry their own permit type. Running an informal part-time or flexible arrangement on a standard permit means the employee is working outside the terms of their authorisation. Confirm the current permit requirement with MOHRE before the arrangement starts, not after an inspection.</w:t>
      </w:r>
    </w:p>
    <w:p>
      <w:pPr>
        <w:keepNext/>
        <w:spacing w:after="40" w:before="140"/>
      </w:pPr>
      <w:r>
        <w:rPr>
          <w:rFonts w:ascii="Calibri" w:cs="Calibri" w:eastAsia="Calibri" w:hAnsi="Calibri"/>
          <w:b/>
          <w:bCs/>
          <w:color w:val="14161B"/>
          <w:sz w:val="20"/>
          <w:szCs w:val="20"/>
        </w:rPr>
        <w:t xml:space="preserve">Informal changes are underpayments</w:t>
      </w:r>
    </w:p>
    <w:p>
      <w:pPr>
        <w:spacing w:after="60" w:line="264"/>
        <w:jc w:val="both"/>
      </w:pPr>
      <w:r>
        <w:rPr>
          <w:rFonts w:ascii="Calibri" w:cs="Calibri" w:eastAsia="Calibri" w:hAnsi="Calibri"/>
          <w:sz w:val="19"/>
          <w:szCs w:val="19"/>
        </w:rPr>
        <w:t xml:space="preserve">A reduced-hours or reduced-salary arrangement agreed verbally, however willingly, shows in the WPS record as paying less than the registered salary. Process the written consent and the ministry amendment first, then pay the new figure.</w:t>
      </w:r>
    </w:p>
    <w:p>
      <w:pPr>
        <w:keepNext/>
        <w:spacing w:after="40" w:before="140"/>
      </w:pPr>
      <w:r>
        <w:rPr>
          <w:rFonts w:ascii="Calibri" w:cs="Calibri" w:eastAsia="Calibri" w:hAnsi="Calibri"/>
          <w:b/>
          <w:bCs/>
          <w:color w:val="14161B"/>
          <w:sz w:val="20"/>
          <w:szCs w:val="20"/>
        </w:rPr>
        <w:t xml:space="preserve">Part-time employees may have more than one employer</w:t>
      </w:r>
    </w:p>
    <w:p>
      <w:pPr>
        <w:spacing w:after="60" w:line="264"/>
        <w:jc w:val="both"/>
      </w:pPr>
      <w:r>
        <w:rPr>
          <w:rFonts w:ascii="Calibri" w:cs="Calibri" w:eastAsia="Calibri" w:hAnsi="Calibri"/>
          <w:sz w:val="19"/>
          <w:szCs w:val="19"/>
        </w:rPr>
        <w:t xml:space="preserve">That is the point of the model, and each employer needs its own part-time permit. Employers sometimes assume exclusivity applies as it would to a full-time employee — it does not, unless separately agreed and lawful.</w:t>
      </w:r>
    </w:p>
    <w:p>
      <w:pPr>
        <w:keepNext/>
        <w:spacing w:after="40" w:before="140"/>
      </w:pPr>
      <w:r>
        <w:rPr>
          <w:rFonts w:ascii="Calibri" w:cs="Calibri" w:eastAsia="Calibri" w:hAnsi="Calibri"/>
          <w:b/>
          <w:bCs/>
          <w:color w:val="14161B"/>
          <w:sz w:val="20"/>
          <w:szCs w:val="20"/>
        </w:rPr>
        <w:t xml:space="preserve">Pro-rate entitlements properly</w:t>
      </w:r>
    </w:p>
    <w:p>
      <w:pPr>
        <w:spacing w:after="60" w:line="264"/>
        <w:jc w:val="both"/>
      </w:pPr>
      <w:r>
        <w:rPr>
          <w:rFonts w:ascii="Calibri" w:cs="Calibri" w:eastAsia="Calibri" w:hAnsi="Calibri"/>
          <w:sz w:val="19"/>
          <w:szCs w:val="19"/>
        </w:rPr>
        <w:t xml:space="preserve">Annual leave and end-of-service gratuity are pro-rated by reference to hours for part-time employees. Applying the full-time formula overpays; applying nothing underpays and creates a claim. Confirm the current basis rather than estimating.</w:t>
      </w:r>
    </w:p>
    <w:p>
      <w:pPr>
        <w:keepNext/>
        <w:spacing w:after="40" w:before="140"/>
      </w:pPr>
      <w:r>
        <w:rPr>
          <w:rFonts w:ascii="Calibri" w:cs="Calibri" w:eastAsia="Calibri" w:hAnsi="Calibri"/>
          <w:b/>
          <w:bCs/>
          <w:color w:val="14161B"/>
          <w:sz w:val="20"/>
          <w:szCs w:val="20"/>
        </w:rPr>
        <w:t xml:space="preserve">Flexible must not mean unpaid availability</w:t>
      </w:r>
    </w:p>
    <w:p>
      <w:pPr>
        <w:spacing w:after="60" w:line="264"/>
        <w:jc w:val="both"/>
      </w:pPr>
      <w:r>
        <w:rPr>
          <w:rFonts w:ascii="Calibri" w:cs="Calibri" w:eastAsia="Calibri" w:hAnsi="Calibri"/>
          <w:sz w:val="19"/>
          <w:szCs w:val="19"/>
        </w:rPr>
        <w:t xml:space="preserve">If an employee is required to be reachable or able to start at short notice, that is either working time or a defined on-call arrangement with its own terms. An unwritten expectation of availability is the most common way a flexible model becomes exploitative.</w:t>
      </w:r>
    </w:p>
    <w:p>
      <w:pPr>
        <w:keepNext/>
        <w:spacing w:after="40" w:before="140"/>
      </w:pPr>
      <w:r>
        <w:rPr>
          <w:rFonts w:ascii="Calibri" w:cs="Calibri" w:eastAsia="Calibri" w:hAnsi="Calibri"/>
          <w:b/>
          <w:bCs/>
          <w:color w:val="14161B"/>
          <w:sz w:val="20"/>
          <w:szCs w:val="20"/>
        </w:rPr>
        <w:t xml:space="preserve">Condensed hours do not suspend daily limits</w:t>
      </w:r>
    </w:p>
    <w:p>
      <w:pPr>
        <w:spacing w:after="60" w:line="264"/>
        <w:jc w:val="both"/>
      </w:pPr>
      <w:r>
        <w:rPr>
          <w:rFonts w:ascii="Calibri" w:cs="Calibri" w:eastAsia="Calibri" w:hAnsi="Calibri"/>
          <w:sz w:val="19"/>
          <w:szCs w:val="19"/>
        </w:rPr>
        <w:t xml:space="preserve">Compressing full weekly hours into fewer days still engages statutory daily hours limits, rest breaks and overtime rules. A four-day week of twelve-hour days is not automatically lawful because the weekly total is unchanged.</w:t>
      </w:r>
    </w:p>
    <w:p>
      <w:pPr>
        <w:keepNext/>
        <w:spacing w:after="40" w:before="140"/>
      </w:pPr>
      <w:r>
        <w:rPr>
          <w:rFonts w:ascii="Calibri" w:cs="Calibri" w:eastAsia="Calibri" w:hAnsi="Calibri"/>
          <w:b/>
          <w:bCs/>
          <w:color w:val="14161B"/>
          <w:sz w:val="20"/>
          <w:szCs w:val="20"/>
        </w:rPr>
        <w:t xml:space="preserve">Working from another country is not a variation of remote working</w:t>
      </w:r>
    </w:p>
    <w:p>
      <w:pPr>
        <w:spacing w:after="60" w:line="264"/>
        <w:jc w:val="both"/>
      </w:pPr>
      <w:r>
        <w:rPr>
          <w:rFonts w:ascii="Calibri" w:cs="Calibri" w:eastAsia="Calibri" w:hAnsi="Calibri"/>
          <w:sz w:val="19"/>
          <w:szCs w:val="19"/>
        </w:rPr>
        <w:t xml:space="preserve">An employee working from abroad can create taxable presence for the company, attract local employment law and social security obligations, breach the immigration rules of the country they are in, and affect their own UAE residence. Section 4 lists the questions. Take advice before agreeing, not after three months have passed.</w:t>
      </w:r>
    </w:p>
    <w:p>
      <w:pPr>
        <w:keepNext/>
        <w:spacing w:after="40" w:before="140"/>
      </w:pPr>
      <w:r>
        <w:rPr>
          <w:rFonts w:ascii="Calibri" w:cs="Calibri" w:eastAsia="Calibri" w:hAnsi="Calibri"/>
          <w:b/>
          <w:bCs/>
          <w:color w:val="14161B"/>
          <w:sz w:val="20"/>
          <w:szCs w:val="20"/>
        </w:rPr>
        <w:t xml:space="preserve">Extended absence can affect UAE residence</w:t>
      </w:r>
    </w:p>
    <w:p>
      <w:pPr>
        <w:spacing w:after="60" w:line="264"/>
        <w:jc w:val="both"/>
      </w:pPr>
      <w:r>
        <w:rPr>
          <w:rFonts w:ascii="Calibri" w:cs="Calibri" w:eastAsia="Calibri" w:hAnsi="Calibri"/>
          <w:sz w:val="19"/>
          <w:szCs w:val="19"/>
        </w:rPr>
        <w:t xml:space="preserve">Residence visas can be affected by prolonged absence from the country. An employee working remotely from abroad for an extended period may return to a status problem that neither side anticipated.</w:t>
      </w:r>
    </w:p>
    <w:p>
      <w:pPr>
        <w:keepNext/>
        <w:spacing w:after="40" w:before="140"/>
      </w:pPr>
      <w:r>
        <w:rPr>
          <w:rFonts w:ascii="Calibri" w:cs="Calibri" w:eastAsia="Calibri" w:hAnsi="Calibri"/>
          <w:b/>
          <w:bCs/>
          <w:color w:val="14161B"/>
          <w:sz w:val="20"/>
          <w:szCs w:val="20"/>
        </w:rPr>
        <w:t xml:space="preserve">Data access from abroad is a transfer question</w:t>
      </w:r>
    </w:p>
    <w:p>
      <w:pPr>
        <w:spacing w:after="60" w:line="264"/>
        <w:jc w:val="both"/>
      </w:pPr>
      <w:r>
        <w:rPr>
          <w:rFonts w:ascii="Calibri" w:cs="Calibri" w:eastAsia="Calibri" w:hAnsi="Calibri"/>
          <w:sz w:val="19"/>
          <w:szCs w:val="19"/>
        </w:rPr>
        <w:t xml:space="preserve">An employee accessing UAE-held personal data from another country is receiving that data there. Where the employer is in DIFC or ADGM, or the destination has no adequacy finding, safeguards are needed. Remote access is a transfer even where nothing is downloaded.</w:t>
      </w:r>
    </w:p>
    <w:p>
      <w:pPr>
        <w:keepNext/>
        <w:spacing w:after="40" w:before="140"/>
      </w:pPr>
      <w:r>
        <w:rPr>
          <w:rFonts w:ascii="Calibri" w:cs="Calibri" w:eastAsia="Calibri" w:hAnsi="Calibri"/>
          <w:b/>
          <w:bCs/>
          <w:color w:val="14161B"/>
          <w:sz w:val="20"/>
          <w:szCs w:val="20"/>
        </w:rPr>
        <w:t xml:space="preserve">Health insurance is not pro-rated away</w:t>
      </w:r>
    </w:p>
    <w:p>
      <w:pPr>
        <w:spacing w:after="60" w:line="264"/>
        <w:jc w:val="both"/>
      </w:pPr>
      <w:r>
        <w:rPr>
          <w:rFonts w:ascii="Calibri" w:cs="Calibri" w:eastAsia="Calibri" w:hAnsi="Calibri"/>
          <w:sz w:val="19"/>
          <w:szCs w:val="19"/>
        </w:rPr>
        <w:t xml:space="preserve">The obligation to provide health insurance applies regardless of the work model or the hours. Reducing someone to part-time does not reduce that duty.</w:t>
      </w:r>
    </w:p>
    <w:p>
      <w:pPr>
        <w:keepNext/>
        <w:spacing w:after="40" w:before="140"/>
      </w:pPr>
      <w:r>
        <w:rPr>
          <w:rFonts w:ascii="Calibri" w:cs="Calibri" w:eastAsia="Calibri" w:hAnsi="Calibri"/>
          <w:b/>
          <w:bCs/>
          <w:color w:val="14161B"/>
          <w:sz w:val="20"/>
          <w:szCs w:val="20"/>
        </w:rPr>
        <w:t xml:space="preserve">Update the Emiratisation base</w:t>
      </w:r>
    </w:p>
    <w:p>
      <w:pPr>
        <w:spacing w:after="60" w:line="264"/>
        <w:jc w:val="both"/>
      </w:pPr>
      <w:r>
        <w:rPr>
          <w:rFonts w:ascii="Calibri" w:cs="Calibri" w:eastAsia="Calibri" w:hAnsi="Calibri"/>
          <w:sz w:val="19"/>
          <w:szCs w:val="19"/>
        </w:rPr>
        <w:t xml:space="preserve">Where changing work models alters the skilled headcount classification on the mainland, the quota base moves with it. Recalculate rather than assuming a model change is headcount-neutral.</w:t>
      </w:r>
    </w:p>
    <w:p>
      <w:pPr>
        <w:keepNext/>
        <w:spacing w:after="40" w:before="140"/>
      </w:pPr>
      <w:r>
        <w:rPr>
          <w:rFonts w:ascii="Calibri" w:cs="Calibri" w:eastAsia="Calibri" w:hAnsi="Calibri"/>
          <w:b/>
          <w:bCs/>
          <w:color w:val="14161B"/>
          <w:sz w:val="20"/>
          <w:szCs w:val="20"/>
        </w:rPr>
        <w:t xml:space="preserve">Set a review date</w:t>
      </w:r>
    </w:p>
    <w:p>
      <w:pPr>
        <w:spacing w:after="60" w:line="264"/>
        <w:jc w:val="both"/>
      </w:pPr>
      <w:r>
        <w:rPr>
          <w:rFonts w:ascii="Calibri" w:cs="Calibri" w:eastAsia="Calibri" w:hAnsi="Calibri"/>
          <w:sz w:val="19"/>
          <w:szCs w:val="19"/>
        </w:rPr>
        <w:t xml:space="preserve">Flexible and remote arrangements drift — hours creep back up, the reduced salary stays, the remote period extends. A review date forces the arrangement to be reconfirmed or formally changed rather than becoming an undocumented norm.</w:t>
      </w:r>
    </w:p>
    <w:p>
      <w:pPr>
        <w:keepNext/>
        <w:spacing w:after="40" w:before="140"/>
      </w:pPr>
      <w:r>
        <w:rPr>
          <w:rFonts w:ascii="Calibri" w:cs="Calibri" w:eastAsia="Calibri" w:hAnsi="Calibri"/>
          <w:b/>
          <w:bCs/>
          <w:color w:val="14161B"/>
          <w:sz w:val="20"/>
          <w:szCs w:val="20"/>
        </w:rPr>
        <w:t xml:space="preserve">Freelance is not a work model — it is not employment</w:t>
      </w:r>
    </w:p>
    <w:p>
      <w:pPr>
        <w:spacing w:after="60" w:line="264"/>
        <w:jc w:val="both"/>
      </w:pPr>
      <w:r>
        <w:rPr>
          <w:rFonts w:ascii="Calibri" w:cs="Calibri" w:eastAsia="Calibri" w:hAnsi="Calibri"/>
          <w:sz w:val="19"/>
          <w:szCs w:val="19"/>
        </w:rPr>
        <w:t xml:space="preserve">A freelance permit is held by the individual and makes them an independent contractor, not a part-time employee. Confusing the two produces a document that is wrong about entitlements, gratuity, WPS and permits simultaneously.</w:t>
      </w:r>
    </w:p>
    <w:p>
      <w:pPr>
        <w:keepNext/>
        <w:spacing w:after="40" w:before="140"/>
      </w:pPr>
      <w:r>
        <w:rPr>
          <w:rFonts w:ascii="Calibri" w:cs="Calibri" w:eastAsia="Calibri" w:hAnsi="Calibri"/>
          <w:b/>
          <w:bCs/>
          <w:color w:val="14161B"/>
          <w:sz w:val="20"/>
          <w:szCs w:val="20"/>
        </w:rPr>
        <w:t xml:space="preserve">DIFC and ADGM differ</w:t>
      </w:r>
    </w:p>
    <w:p>
      <w:pPr>
        <w:spacing w:after="60" w:line="264"/>
        <w:jc w:val="both"/>
      </w:pPr>
      <w:r>
        <w:rPr>
          <w:rFonts w:ascii="Calibri" w:cs="Calibri" w:eastAsia="Calibri" w:hAnsi="Calibri"/>
          <w:sz w:val="19"/>
          <w:szCs w:val="19"/>
        </w:rPr>
        <w:t xml:space="preserve">The financial free zones operate their own employment codes with their own approaches to part-time, flexible and remote working, and their own end-of-service schemes. This document is drafted for the mainland framework.</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recognised work models under Federal Decree-Law 33/2021, their permit requirements, pro-rating rules and remote working guidance all change — confirm the current position with MOHRE before establishing an arrangement, and take tax and immigration advice before agreeing to work performed outside the UAE.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2026-08-23T16:28:35.060Z</dcterms:created>
  <dcterms:modified xsi:type="dcterms:W3CDTF">2026-08-23T16:28:35.060Z</dcterms:modified>
</cp:coreProperties>
</file>

<file path=docProps/custom.xml><?xml version="1.0" encoding="utf-8"?>
<Properties xmlns="http://schemas.openxmlformats.org/officeDocument/2006/custom-properties" xmlns:vt="http://schemas.openxmlformats.org/officeDocument/2006/docPropsVTypes"/>
</file>