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VAT</w:t>
      </w:r>
    </w:p>
    <w:p>
      <w:pPr>
        <w:spacing w:after="260"/>
        <w:jc w:val="center"/>
      </w:pPr>
      <w:r>
        <w:rPr>
          <w:rFonts w:ascii="Calibri" w:cs="Calibri" w:eastAsia="Calibri" w:hAnsi="Calibri"/>
          <w:i/>
          <w:iCs/>
          <w:color w:val="6E7480"/>
          <w:sz w:val="19"/>
          <w:szCs w:val="19"/>
        </w:rPr>
        <w:t xml:space="preserve">Registration, invoicing, returns and e-invoicing readiness</w:t>
      </w:r>
    </w:p>
    <w:p>
      <w:pPr>
        <w:spacing w:after="180" w:before="0" w:line="276"/>
        <w:jc w:val="both"/>
      </w:pPr>
      <w:r>
        <w:rPr>
          <w:rFonts w:ascii="Calibri" w:cs="Calibri" w:eastAsia="Calibri" w:hAnsi="Calibri"/>
          <w:i/>
          <w:iCs/>
          <w:color w:val="6E7480"/>
          <w:sz w:val="21"/>
          <w:szCs w:val="21"/>
        </w:rPr>
        <w:t xml:space="preserve">VAT is 5% and the mechanics are settled, but two things are moving. </w:t>
      </w:r>
      <w:r>
        <w:rPr>
          <w:rFonts w:ascii="Calibri" w:cs="Calibri" w:eastAsia="Calibri" w:hAnsi="Calibri"/>
          <w:b/>
          <w:bCs/>
          <w:i/>
          <w:iCs/>
          <w:color w:val="6E7480"/>
          <w:sz w:val="21"/>
          <w:szCs w:val="21"/>
        </w:rPr>
        <w:t xml:space="preserve">E-invoicing</w:t>
      </w:r>
      <w:r>
        <w:rPr>
          <w:rFonts w:ascii="Calibri" w:cs="Calibri" w:eastAsia="Calibri" w:hAnsi="Calibri"/>
          <w:i/>
          <w:iCs/>
          <w:color w:val="6E7480"/>
          <w:sz w:val="21"/>
          <w:szCs w:val="21"/>
        </w:rPr>
        <w:t xml:space="preserve"> begins a phased mandate, and the </w:t>
      </w:r>
      <w:r>
        <w:rPr>
          <w:rFonts w:ascii="Calibri" w:cs="Calibri" w:eastAsia="Calibri" w:hAnsi="Calibri"/>
          <w:b/>
          <w:bCs/>
          <w:i/>
          <w:iCs/>
          <w:color w:val="6E7480"/>
          <w:sz w:val="21"/>
          <w:szCs w:val="21"/>
        </w:rPr>
        <w:t xml:space="preserve">penalty framework</w:t>
      </w:r>
      <w:r>
        <w:rPr>
          <w:rFonts w:ascii="Calibri" w:cs="Calibri" w:eastAsia="Calibri" w:hAnsi="Calibri"/>
          <w:i/>
          <w:iCs/>
          <w:color w:val="6E7480"/>
          <w:sz w:val="21"/>
          <w:szCs w:val="21"/>
        </w:rPr>
        <w:t xml:space="preserve"> was rewritten with effect from 2026. A business that has run VAT comfortably since 2018 should not assume the compliance burden is unchanged.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662"/>
        <w:gridCol w:w="5976"/>
      </w:tblGrid>
      <w:tr>
        <w:trPr>
          <w:cantSplit/>
          <w:tblHeader/>
        </w:trPr>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59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Entity</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licence </w:t>
            </w:r>
            <w:r>
              <w:rPr>
                <w:rFonts w:ascii="Calibri" w:cs="Calibri" w:eastAsia="Calibri" w:hAnsi="Calibri"/>
                <w:b/>
                <w:bCs/>
                <w:sz w:val="19"/>
                <w:szCs w:val="19"/>
              </w:rPr>
              <w:t xml:space="preserve">[NUMBER]</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Jurisdiction</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[Mainland / Free zone — name it]</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Designated zone for VAT?</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r>
              <w:rPr>
                <w:rFonts w:ascii="Calibri" w:cs="Calibri" w:eastAsia="Calibri" w:hAnsi="Calibri"/>
                <w:sz w:val="19"/>
                <w:szCs w:val="19"/>
              </w:rPr>
              <w:t xml:space="preserve"> — </w:t>
            </w:r>
            <w:r>
              <w:rPr>
                <w:rFonts w:ascii="Calibri" w:cs="Calibri" w:eastAsia="Calibri" w:hAnsi="Calibri"/>
                <w:i/>
                <w:iCs/>
                <w:sz w:val="19"/>
                <w:szCs w:val="19"/>
              </w:rPr>
              <w:t xml:space="preserve">affects goods only, not services</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Tax Registration Number</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[TRN]</w:t>
            </w:r>
            <w:r>
              <w:rPr>
                <w:rFonts w:ascii="Calibri" w:cs="Calibri" w:eastAsia="Calibri" w:hAnsi="Calibri"/>
                <w:sz w:val="19"/>
                <w:szCs w:val="19"/>
              </w:rPr>
              <w:t xml:space="preserve">, registered </w:t>
            </w:r>
            <w:r>
              <w:rPr>
                <w:rFonts w:ascii="Calibri" w:cs="Calibri" w:eastAsia="Calibri" w:hAnsi="Calibri"/>
                <w:b/>
                <w:bCs/>
                <w:sz w:val="19"/>
                <w:szCs w:val="19"/>
              </w:rPr>
              <w:t xml:space="preserve">[DATE]</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Registration basis</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[Mandatory — threshold exceeded / Voluntary]</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Taxable supplies, last 12 months</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AED </w:t>
            </w:r>
            <w:r>
              <w:rPr>
                <w:rFonts w:ascii="Calibri" w:cs="Calibri" w:eastAsia="Calibri" w:hAnsi="Calibri"/>
                <w:b/>
                <w:bCs/>
                <w:sz w:val="19"/>
                <w:szCs w:val="19"/>
              </w:rPr>
              <w:t xml:space="preserve">[AMOUNT]</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Return period</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[Quarterly / Monthly]</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Next return due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Annual revenue for e-invoicing phasing</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AED </w:t>
            </w:r>
            <w:r>
              <w:rPr>
                <w:rFonts w:ascii="Calibri" w:cs="Calibri" w:eastAsia="Calibri" w:hAnsi="Calibri"/>
                <w:b/>
                <w:bCs/>
                <w:sz w:val="19"/>
                <w:szCs w:val="19"/>
              </w:rPr>
              <w:t xml:space="preserve">[AMOUNT]</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E-invoicing phase applicable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[Confirm against the current FTA schedule]</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Records retained</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Per the statutory period</w:t>
            </w:r>
          </w:p>
        </w:tc>
      </w:tr>
    </w:tbl>
    <w:p>
      <w:pPr>
        <w:spacing w:after="180"/>
      </w:pPr>
    </w:p>
    <w:p>
      <w:pPr>
        <w:keepNext/>
        <w:spacing w:after="120" w:before="280"/>
        <w:outlineLvl w:val="0"/>
      </w:pPr>
      <w:r>
        <w:rPr>
          <w:rFonts w:ascii="Calibri" w:cs="Calibri" w:eastAsia="Calibri" w:hAnsi="Calibri"/>
          <w:b/>
          <w:bCs/>
          <w:color w:val="14161B"/>
          <w:sz w:val="22"/>
          <w:szCs w:val="22"/>
        </w:rPr>
        <w:t xml:space="preserve">1. REGISTRATION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891"/>
        <w:gridCol w:w="6747"/>
      </w:tblGrid>
      <w:tr>
        <w:trPr>
          <w:cantSplit/>
          <w:tblHeader/>
        </w:trPr>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Position</w:t>
            </w:r>
          </w:p>
        </w:tc>
        <w:tc>
          <w:tcPr>
            <w:tcW w:type="dxa" w:w="67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Requirement</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Mandatory registration</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Taxable supplies and imports exceed the mandatory threshold over the past 12 months, or are expected to in the next 30 days</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Voluntary registration</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Taxable supplies, imports or taxable expenses exceed the voluntary threshold</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Below both thresholds</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 registration; VAT cannot be charged and input tax cannot be recovered</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Non-resident making taxable supplies in the UAE</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Registration may be required regardless of threshold</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Tax group</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Related entities under common control may register as a single taxable person</w:t>
            </w:r>
          </w:p>
        </w:tc>
      </w:tr>
    </w:tbl>
    <w:p>
      <w:pPr>
        <w:spacing w:after="14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i/>
          <w:iCs/>
          <w:sz w:val="21"/>
          <w:szCs w:val="21"/>
        </w:rPr>
        <w:t xml:space="preserve">Confirm the current mandatory and voluntary thresholds with the FTA. Registering late attracts a penalty and the liability for VAT that should have been charged still arises — usually absorbed by the business, because customers will not accept a retrospective invoice.</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Monitor the rolling 12-month figure monthly. Businesses cross the threshold mid-year and discover it at the annual accounts.</w:t>
      </w:r>
    </w:p>
    <w:p>
      <w:pPr>
        <w:keepNext/>
        <w:spacing w:after="120" w:before="280"/>
        <w:outlineLvl w:val="0"/>
      </w:pPr>
      <w:r>
        <w:rPr>
          <w:rFonts w:ascii="Calibri" w:cs="Calibri" w:eastAsia="Calibri" w:hAnsi="Calibri"/>
          <w:b/>
          <w:bCs/>
          <w:color w:val="14161B"/>
          <w:sz w:val="22"/>
          <w:szCs w:val="22"/>
        </w:rPr>
        <w:t xml:space="preserve">2. RATES AND TREATMENT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1927"/>
        <w:gridCol w:w="1156"/>
        <w:gridCol w:w="2313"/>
        <w:gridCol w:w="4242"/>
      </w:tblGrid>
      <w:tr>
        <w:trPr>
          <w:cantSplit/>
          <w:tblHeader/>
        </w:trPr>
        <w:tc>
          <w:tcPr>
            <w:tcW w:type="dxa" w:w="19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Treatment</w:t>
            </w:r>
          </w:p>
        </w:tc>
        <w:tc>
          <w:tcPr>
            <w:tcW w:type="dxa" w:w="11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Rate</w:t>
            </w:r>
          </w:p>
        </w:tc>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Input tax recovery</w:t>
            </w:r>
          </w:p>
        </w:tc>
        <w:tc>
          <w:tcPr>
            <w:tcW w:type="dxa" w:w="424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Typical</w:t>
            </w:r>
          </w:p>
        </w:tc>
      </w:tr>
      <w:tr>
        <w:trPr>
          <w:cantSplit/>
        </w:trP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Standard rated</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Recoverable</w:t>
            </w:r>
          </w:p>
        </w:tc>
        <w:tc>
          <w:tcPr>
            <w:tcW w:type="dxa" w:w="42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Most goods and services</w:t>
            </w:r>
          </w:p>
        </w:tc>
      </w:tr>
      <w:tr>
        <w:trPr>
          <w:cantSplit/>
        </w:trP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Zero rated</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0%</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Recoverable</w:t>
            </w:r>
          </w:p>
        </w:tc>
        <w:tc>
          <w:tcPr>
            <w:tcW w:type="dxa" w:w="42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Exports of goods and services, international transport, certain healthcare and education</w:t>
            </w:r>
          </w:p>
        </w:tc>
      </w:tr>
      <w:tr>
        <w:trPr>
          <w:cantSplit/>
        </w:trP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Exempt</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Not recoverable</w:t>
            </w:r>
          </w:p>
        </w:tc>
        <w:tc>
          <w:tcPr>
            <w:tcW w:type="dxa" w:w="42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Certain financial services, bare land, local passenger transport, residential leases</w:t>
            </w:r>
          </w:p>
        </w:tc>
      </w:tr>
      <w:tr>
        <w:trPr>
          <w:cantSplit/>
        </w:trP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Out of scope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t>
            </w:r>
          </w:p>
        </w:tc>
        <w:tc>
          <w:tcPr>
            <w:tcW w:type="dxa" w:w="42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Transactions outside the UAE</w:t>
            </w:r>
          </w:p>
        </w:tc>
      </w:tr>
      <w:tr>
        <w:trPr>
          <w:cantSplit/>
        </w:trP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Reverse charge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 self-accounted</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Recoverable where attributable to taxable supplies</w:t>
            </w:r>
          </w:p>
        </w:tc>
        <w:tc>
          <w:tcPr>
            <w:tcW w:type="dxa" w:w="42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Imports of goods and services; certain domestic supplies</w:t>
            </w:r>
          </w:p>
        </w:tc>
      </w:tr>
    </w:tbl>
    <w:p>
      <w:pPr>
        <w:spacing w:after="140"/>
      </w:pP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i/>
          <w:iCs/>
          <w:sz w:val="21"/>
          <w:szCs w:val="21"/>
        </w:rPr>
        <w:t xml:space="preserve">The distinction that costs money is </w:t>
      </w:r>
      <w:r>
        <w:rPr>
          <w:rFonts w:ascii="Calibri" w:cs="Calibri" w:eastAsia="Calibri" w:hAnsi="Calibri"/>
          <w:i/>
          <w:iCs/>
          <w:sz w:val="21"/>
          <w:szCs w:val="21"/>
        </w:rPr>
        <w:t xml:space="preserve">zero rated versus exempt</w:t>
      </w:r>
      <w:r>
        <w:rPr>
          <w:rFonts w:ascii="Calibri" w:cs="Calibri" w:eastAsia="Calibri" w:hAnsi="Calibri"/>
          <w:i/>
          <w:iCs/>
          <w:sz w:val="21"/>
          <w:szCs w:val="21"/>
        </w:rPr>
        <w:t xml:space="preserve">. Both mean no VAT on the sale; only zero rating preserves input tax recovery. A business making exempt supplies is absorbing VAT on its costs, and a partial exemption calculation is needed where it makes both.</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b/>
          <w:bCs/>
          <w:sz w:val="21"/>
          <w:szCs w:val="21"/>
        </w:rPr>
        <w:t xml:space="preserve">Designated zones.</w:t>
      </w:r>
      <w:r>
        <w:rPr>
          <w:rFonts w:ascii="Calibri" w:cs="Calibri" w:eastAsia="Calibri" w:hAnsi="Calibri"/>
          <w:sz w:val="21"/>
          <w:szCs w:val="21"/>
        </w:rPr>
        <w:t xml:space="preserve"> Goods within and between designated zones may fall outside the scope in defined circumstances. </w:t>
      </w:r>
      <w:r>
        <w:rPr>
          <w:rFonts w:ascii="Calibri" w:cs="Calibri" w:eastAsia="Calibri" w:hAnsi="Calibri"/>
          <w:b/>
          <w:bCs/>
          <w:sz w:val="21"/>
          <w:szCs w:val="21"/>
        </w:rPr>
        <w:t xml:space="preserve">Services are standard rated regardless of zone.</w:t>
      </w:r>
      <w:r>
        <w:rPr>
          <w:rFonts w:ascii="Calibri" w:cs="Calibri" w:eastAsia="Calibri" w:hAnsi="Calibri"/>
          <w:sz w:val="21"/>
          <w:szCs w:val="21"/>
        </w:rPr>
        <w:t xml:space="preserve"> Goods leaving a designated zone for the mainland become subject to VAT, commonly under the reverse charge.</w:t>
      </w:r>
    </w:p>
    <w:p>
      <w:pPr>
        <w:keepNext/>
        <w:spacing w:after="120" w:before="280"/>
        <w:outlineLvl w:val="0"/>
      </w:pPr>
      <w:r>
        <w:rPr>
          <w:rFonts w:ascii="Calibri" w:cs="Calibri" w:eastAsia="Calibri" w:hAnsi="Calibri"/>
          <w:b/>
          <w:bCs/>
          <w:color w:val="14161B"/>
          <w:sz w:val="22"/>
          <w:szCs w:val="22"/>
        </w:rPr>
        <w:t xml:space="preserve">3. TAX INVOICE</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A valid tax invoice must contain: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7517"/>
        <w:gridCol w:w="1640"/>
      </w:tblGrid>
      <w:tr>
        <w:trPr>
          <w:cantSplit/>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751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Requirement</w:t>
            </w:r>
          </w:p>
        </w:tc>
        <w:tc>
          <w:tcPr>
            <w:tcW w:type="dxa" w:w="16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Present</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words "Tax Invoice" clearly displayed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Supplier name, address and </w:t>
            </w:r>
            <w:r>
              <w:rPr>
                <w:rFonts w:ascii="Calibri" w:cs="Calibri" w:eastAsia="Calibri" w:hAnsi="Calibri"/>
                <w:b/>
                <w:bCs/>
                <w:sz w:val="18"/>
                <w:szCs w:val="18"/>
              </w:rPr>
              <w:t xml:space="preserve">TRN</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Recipient name, address and TRN where registered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Sequential invoice number</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Date of issue, and date of supply where different</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Description of goods or services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Unit price, quantity, rate and amount payable </w:t>
            </w:r>
            <w:r>
              <w:rPr>
                <w:rFonts w:ascii="Calibri" w:cs="Calibri" w:eastAsia="Calibri" w:hAnsi="Calibri"/>
                <w:b/>
                <w:bCs/>
                <w:sz w:val="18"/>
                <w:szCs w:val="18"/>
              </w:rPr>
              <w:t xml:space="preserve">in AED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Discount offered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Gross amount payable in AED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10</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VAT amount payable in AED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Where converted from another currency, the </w:t>
            </w:r>
            <w:r>
              <w:rPr>
                <w:rFonts w:ascii="Calibri" w:cs="Calibri" w:eastAsia="Calibri" w:hAnsi="Calibri"/>
                <w:b/>
                <w:bCs/>
                <w:sz w:val="18"/>
                <w:szCs w:val="18"/>
              </w:rPr>
              <w:t xml:space="preserve">exchange rate applied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Where the reverse charge applies, a statement to that effect and the recipient’s obligation</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bl>
    <w:p>
      <w:pPr>
        <w:spacing w:after="140"/>
      </w:pP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b/>
          <w:bCs/>
          <w:sz w:val="21"/>
          <w:szCs w:val="21"/>
        </w:rPr>
        <w:t xml:space="preserve">A simplified tax invoice</w:t>
      </w:r>
      <w:r>
        <w:rPr>
          <w:rFonts w:ascii="Calibri" w:cs="Calibri" w:eastAsia="Calibri" w:hAnsi="Calibri"/>
          <w:sz w:val="21"/>
          <w:szCs w:val="21"/>
        </w:rPr>
        <w:t xml:space="preserve"> may be issued where the recipient is not registered, or where the consideration does not exceed the prescribed amount. It carries fewer particulars but must still show the VAT-inclusive total and the tax amount.</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The VAT amount must be stated </w:t>
      </w:r>
      <w:r>
        <w:rPr>
          <w:rFonts w:ascii="Calibri" w:cs="Calibri" w:eastAsia="Calibri" w:hAnsi="Calibri"/>
          <w:b/>
          <w:bCs/>
          <w:sz w:val="21"/>
          <w:szCs w:val="21"/>
        </w:rPr>
        <w:t xml:space="preserve">in AED</w:t>
      </w:r>
      <w:r>
        <w:rPr>
          <w:rFonts w:ascii="Calibri" w:cs="Calibri" w:eastAsia="Calibri" w:hAnsi="Calibri"/>
          <w:sz w:val="21"/>
          <w:szCs w:val="21"/>
        </w:rPr>
        <w:t xml:space="preserve"> even where the invoice is denominated in another currency, using the exchange rate the FTA requires.</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sz w:val="21"/>
          <w:szCs w:val="21"/>
        </w:rPr>
        <w:t xml:space="preserve">A </w:t>
      </w:r>
      <w:r>
        <w:rPr>
          <w:rFonts w:ascii="Calibri" w:cs="Calibri" w:eastAsia="Calibri" w:hAnsi="Calibri"/>
          <w:b/>
          <w:bCs/>
          <w:sz w:val="21"/>
          <w:szCs w:val="21"/>
        </w:rPr>
        <w:t xml:space="preserve">tax credit note</w:t>
      </w:r>
      <w:r>
        <w:rPr>
          <w:rFonts w:ascii="Calibri" w:cs="Calibri" w:eastAsia="Calibri" w:hAnsi="Calibri"/>
          <w:sz w:val="21"/>
          <w:szCs w:val="21"/>
        </w:rPr>
        <w:t xml:space="preserve"> is required to reduce or cancel a tax invoice, and carries its own particulars.</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4. RETURNS AND PAYMENT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4819"/>
        <w:gridCol w:w="2505"/>
        <w:gridCol w:w="1929"/>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481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Step</w:t>
            </w:r>
          </w:p>
        </w:tc>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Timing</w:t>
            </w:r>
          </w:p>
        </w:tc>
        <w:tc>
          <w:tcPr>
            <w:tcW w:type="dxa" w:w="192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Done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Output tax computed by rate and by emirate where required</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Each period</w:t>
            </w:r>
          </w:p>
        </w:tc>
        <w:tc>
          <w:tcPr>
            <w:tcW w:type="dxa" w:w="192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Input tax identified and blocked items excluded</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Each period</w:t>
            </w:r>
          </w:p>
        </w:tc>
        <w:tc>
          <w:tcPr>
            <w:tcW w:type="dxa" w:w="192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Reverse charge on imports of goods and services accounted for</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Each period</w:t>
            </w:r>
          </w:p>
        </w:tc>
        <w:tc>
          <w:tcPr>
            <w:tcW w:type="dxa" w:w="192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Partial exemption apportionment where exempt supplies are made</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Each period</w:t>
            </w:r>
          </w:p>
        </w:tc>
        <w:tc>
          <w:tcPr>
            <w:tcW w:type="dxa" w:w="192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Bad debt relief claimed where conditions are met</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Where applicable</w:t>
            </w:r>
          </w:p>
        </w:tc>
        <w:tc>
          <w:tcPr>
            <w:tcW w:type="dxa" w:w="192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Return reconciled to the accounting records</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Before filing</w:t>
            </w:r>
          </w:p>
        </w:tc>
        <w:tc>
          <w:tcPr>
            <w:tcW w:type="dxa" w:w="192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Return filed</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By the due date</w:t>
            </w:r>
          </w:p>
        </w:tc>
        <w:tc>
          <w:tcPr>
            <w:tcW w:type="dxa" w:w="192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Payment made</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By the due date</w:t>
            </w:r>
          </w:p>
        </w:tc>
        <w:tc>
          <w:tcPr>
            <w:tcW w:type="dxa" w:w="192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Refund or credit position reviewed</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Each period</w:t>
            </w:r>
          </w:p>
        </w:tc>
        <w:tc>
          <w:tcPr>
            <w:tcW w:type="dxa" w:w="192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Records retained for the statutory period</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Ongoing</w:t>
            </w:r>
          </w:p>
        </w:tc>
        <w:tc>
          <w:tcPr>
            <w:tcW w:type="dxa" w:w="192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bl>
    <w:p>
      <w:pPr>
        <w:spacing w:after="140"/>
      </w:pP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b/>
          <w:bCs/>
          <w:sz w:val="21"/>
          <w:szCs w:val="21"/>
        </w:rPr>
        <w:t xml:space="preserve">Blocked input tax.</w:t>
      </w:r>
      <w:r>
        <w:rPr>
          <w:rFonts w:ascii="Calibri" w:cs="Calibri" w:eastAsia="Calibri" w:hAnsi="Calibri"/>
          <w:sz w:val="21"/>
          <w:szCs w:val="21"/>
        </w:rPr>
        <w:t xml:space="preserve"> VAT is generally not recoverable on entertainment, on motor vehicles available for personal use, and on certain employee-related costs. Recovering it is a common error found on audit.</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b/>
          <w:bCs/>
          <w:sz w:val="21"/>
          <w:szCs w:val="21"/>
        </w:rPr>
        <w:t xml:space="preserve">Credit balances have a time limit.</w:t>
      </w:r>
      <w:r>
        <w:rPr>
          <w:rFonts w:ascii="Calibri" w:cs="Calibri" w:eastAsia="Calibri" w:hAnsi="Calibri"/>
          <w:sz w:val="21"/>
          <w:szCs w:val="21"/>
        </w:rPr>
        <w:t xml:space="preserve"> A refund of a credit balance must be requested within the period allowed from the end of the relevant tax period. Review outstanding credits and claim them before the window closes — businesses lose real money to this quietly.</w:t>
      </w:r>
    </w:p>
    <w:p>
      <w:pPr>
        <w:keepNext/>
        <w:spacing w:after="120" w:before="280"/>
        <w:outlineLvl w:val="0"/>
      </w:pPr>
      <w:r>
        <w:rPr>
          <w:rFonts w:ascii="Calibri" w:cs="Calibri" w:eastAsia="Calibri" w:hAnsi="Calibri"/>
          <w:b/>
          <w:bCs/>
          <w:color w:val="14161B"/>
          <w:sz w:val="22"/>
          <w:szCs w:val="22"/>
        </w:rPr>
        <w:t xml:space="preserve">5. E-INVOICING</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The UAE is introducing a </w:t>
      </w:r>
      <w:r>
        <w:rPr>
          <w:rFonts w:ascii="Calibri" w:cs="Calibri" w:eastAsia="Calibri" w:hAnsi="Calibri"/>
          <w:b/>
          <w:bCs/>
          <w:sz w:val="21"/>
          <w:szCs w:val="21"/>
        </w:rPr>
        <w:t xml:space="preserve">mandatory e-invoicing regime</w:t>
      </w:r>
      <w:r>
        <w:rPr>
          <w:rFonts w:ascii="Calibri" w:cs="Calibri" w:eastAsia="Calibri" w:hAnsi="Calibri"/>
          <w:sz w:val="21"/>
          <w:szCs w:val="21"/>
        </w:rPr>
        <w:t xml:space="preserve"> in phases. Structured, validated, exchange-ready invoice records replace PDF invoices for in-scope businesses.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1734"/>
        <w:gridCol w:w="5011"/>
        <w:gridCol w:w="2893"/>
      </w:tblGrid>
      <w:tr>
        <w:trPr>
          <w:cantSplit/>
          <w:tblHeader/>
        </w:trPr>
        <w:tc>
          <w:tcPr>
            <w:tcW w:type="dxa" w:w="173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Phase</w:t>
            </w:r>
          </w:p>
        </w:tc>
        <w:tc>
          <w:tcPr>
            <w:tcW w:type="dxa" w:w="501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Position</w:t>
            </w:r>
          </w:p>
        </w:tc>
        <w:tc>
          <w:tcPr>
            <w:tcW w:type="dxa" w:w="289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Note</w:t>
            </w:r>
          </w:p>
        </w:tc>
      </w:tr>
      <w:tr>
        <w:trPr>
          <w:cantSplit/>
        </w:trPr>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Pilot</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Voluntary participation from </w:t>
            </w:r>
            <w:r>
              <w:rPr>
                <w:rFonts w:ascii="Calibri" w:cs="Calibri" w:eastAsia="Calibri" w:hAnsi="Calibri"/>
                <w:b/>
                <w:bCs/>
                <w:sz w:val="18"/>
                <w:szCs w:val="18"/>
              </w:rPr>
              <w:t xml:space="preserve">July 2026</w:t>
            </w:r>
            <w:r>
              <w:rPr>
                <w:rFonts w:ascii="Calibri" w:cs="Calibri" w:eastAsia="Calibri" w:hAnsi="Calibri"/>
                <w:sz w:val="18"/>
                <w:szCs w:val="18"/>
              </w:rPr>
              <w:t xml:space="preserve"> on the published schedule</w:t>
            </w:r>
          </w:p>
        </w:tc>
        <w:tc>
          <w:tcPr>
            <w:tcW w:type="dxa" w:w="2893"/>
            <w:tcMar>
              <w:top w:type="dxa" w:w="70"/>
              <w:left w:type="dxa" w:w="100"/>
              <w:bottom w:type="dxa" w:w="70"/>
              <w:right w:type="dxa" w:w="100"/>
            </w:tcMar>
            <w:vAlign w:val="center"/>
          </w:tcPr>
          <w:p>
            <w:pPr>
              <w:spacing w:after="0" w:line="240"/>
              <w:jc w:val="left"/>
            </w:pPr>
          </w:p>
        </w:tc>
      </w:tr>
      <w:tr>
        <w:trPr>
          <w:cantSplit/>
        </w:trPr>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Phase 1</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Mandatory for businesses above the large-revenue threshold — reported as </w:t>
            </w:r>
            <w:r>
              <w:rPr>
                <w:rFonts w:ascii="Calibri" w:cs="Calibri" w:eastAsia="Calibri" w:hAnsi="Calibri"/>
                <w:b/>
                <w:bCs/>
                <w:sz w:val="18"/>
                <w:szCs w:val="18"/>
              </w:rPr>
              <w:t xml:space="preserve">AED 50 million</w:t>
            </w:r>
            <w:r>
              <w:rPr>
                <w:rFonts w:ascii="Calibri" w:cs="Calibri" w:eastAsia="Calibri" w:hAnsi="Calibri"/>
                <w:sz w:val="18"/>
                <w:szCs w:val="18"/>
              </w:rPr>
              <w:t xml:space="preserve"> — from </w:t>
            </w:r>
            <w:r>
              <w:rPr>
                <w:rFonts w:ascii="Calibri" w:cs="Calibri" w:eastAsia="Calibri" w:hAnsi="Calibri"/>
                <w:b/>
                <w:bCs/>
                <w:sz w:val="18"/>
                <w:szCs w:val="18"/>
              </w:rPr>
              <w:t xml:space="preserve">January 2027</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Confirm the threshold and date</w:t>
            </w:r>
          </w:p>
        </w:tc>
      </w:tr>
      <w:tr>
        <w:trPr>
          <w:cantSplit/>
        </w:trPr>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Later phases</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Remaining businesses in subsequent phases</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i/>
                <w:iCs/>
                <w:sz w:val="18"/>
                <w:szCs w:val="18"/>
              </w:rPr>
              <w:t xml:space="preserve">Sources differ on the timing — verify</w:t>
            </w:r>
          </w:p>
        </w:tc>
      </w:tr>
      <w:tr>
        <w:trPr>
          <w:cantSplit/>
        </w:trPr>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Free zone entities</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Not exempt by virtue of zone status</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Assess invoice obligations separately from corporate tax treatment</w:t>
            </w:r>
          </w:p>
        </w:tc>
      </w:tr>
    </w:tbl>
    <w:p>
      <w:pPr>
        <w:spacing w:after="140"/>
      </w:pP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b/>
          <w:bCs/>
          <w:sz w:val="21"/>
          <w:szCs w:val="21"/>
        </w:rPr>
        <w:t xml:space="preserve">A PDF invoice does not satisfy e-invoicing requirements.</w:t>
      </w:r>
      <w:r>
        <w:rPr>
          <w:rFonts w:ascii="Calibri" w:cs="Calibri" w:eastAsia="Calibri" w:hAnsi="Calibri"/>
          <w:sz w:val="21"/>
          <w:szCs w:val="21"/>
        </w:rPr>
        <w:t xml:space="preserve"> The obligation is to issue and receive structured invoice data through an accredited channel.</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sz w:val="21"/>
          <w:szCs w:val="21"/>
        </w:rPr>
        <w:t xml:space="preserve">Readiness steps: confirm which phase applies, establish whether the accounting or ERP system can produce structured invoice data, identify an accredited service provider, cleanse master data — TRNs, addresses, item codes — and test before the mandate date.</w:t>
      </w:r>
    </w:p>
    <w:p>
      <w:pPr>
        <w:spacing w:after="120" w:before="60" w:line="276"/>
        <w:ind w:left="720" w:hanging="720"/>
        <w:jc w:val="both"/>
      </w:pPr>
      <w:r>
        <w:rPr>
          <w:rFonts w:ascii="Calibri" w:cs="Calibri" w:eastAsia="Calibri" w:hAnsi="Calibri"/>
          <w:sz w:val="21"/>
          <w:szCs w:val="21"/>
        </w:rPr>
        <w:t xml:space="preserve">5.4	</w:t>
      </w:r>
      <w:r>
        <w:rPr>
          <w:rFonts w:ascii="Calibri" w:cs="Calibri" w:eastAsia="Calibri" w:hAnsi="Calibri"/>
          <w:i/>
          <w:iCs/>
          <w:sz w:val="21"/>
          <w:szCs w:val="21"/>
        </w:rPr>
        <w:t xml:space="preserve">Master data quality is where most implementations stall. Missing or wrong customer TRNs pass unnoticed on a PDF and fail validation on a structured invoice.</w:t>
      </w:r>
    </w:p>
    <w:p>
      <w:pPr>
        <w:keepNext/>
        <w:spacing w:after="120" w:before="280"/>
        <w:outlineLvl w:val="0"/>
      </w:pPr>
      <w:r>
        <w:rPr>
          <w:rFonts w:ascii="Calibri" w:cs="Calibri" w:eastAsia="Calibri" w:hAnsi="Calibri"/>
          <w:b/>
          <w:bCs/>
          <w:color w:val="14161B"/>
          <w:sz w:val="22"/>
          <w:szCs w:val="22"/>
        </w:rPr>
        <w:t xml:space="preserve">6. ERRORS AND PENALTIES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6362"/>
      </w:tblGrid>
      <w:tr>
        <w:trPr>
          <w:cantSplit/>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Error</w:t>
            </w:r>
          </w:p>
        </w:tc>
        <w:tc>
          <w:tcPr>
            <w:tcW w:type="dxa" w:w="63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Note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Late registration</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Penalty, plus liability for VAT that should have been charged</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Late return or payment</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Penalty; the framework was rewritten with effect from 2026</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Invalid tax invoice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customer may be denied input tax recovery — a commercial problem as well as a compliance one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Recovering blocked input tax</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Assessment and penalty on audit</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Treating exempt as zero rated</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Over-recovery of input tax</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Missing reverse charge on imported services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Very common; often discovered years later</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Not claiming a credit balance in time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credit is lost</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Voluntary disclosure not made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Correcting an error proactively is materially better than being assessed</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Monitor the threshold monthly</w:t>
      </w:r>
    </w:p>
    <w:p>
      <w:pPr>
        <w:spacing w:after="60" w:line="264"/>
        <w:jc w:val="both"/>
      </w:pPr>
      <w:r>
        <w:rPr>
          <w:rFonts w:ascii="Calibri" w:cs="Calibri" w:eastAsia="Calibri" w:hAnsi="Calibri"/>
          <w:sz w:val="19"/>
          <w:szCs w:val="19"/>
        </w:rPr>
        <w:t xml:space="preserve">Registration turns on a rolling 12-month figure and on expectations for the next 30 days. Businesses cross the line mid-year and find out at the annual accounts, by which time VAT should have been charged on supplies already invoiced. Customers rarely accept a retrospective invoice, so the business absorbs it.</w:t>
      </w:r>
    </w:p>
    <w:p>
      <w:pPr>
        <w:keepNext/>
        <w:spacing w:after="40" w:before="140"/>
      </w:pPr>
      <w:r>
        <w:rPr>
          <w:rFonts w:ascii="Calibri" w:cs="Calibri" w:eastAsia="Calibri" w:hAnsi="Calibri"/>
          <w:b/>
          <w:bCs/>
          <w:color w:val="14161B"/>
          <w:sz w:val="20"/>
          <w:szCs w:val="20"/>
        </w:rPr>
        <w:t xml:space="preserve">Zero rated and exempt are not the same</w:t>
      </w:r>
    </w:p>
    <w:p>
      <w:pPr>
        <w:spacing w:after="60" w:line="264"/>
        <w:jc w:val="both"/>
      </w:pPr>
      <w:r>
        <w:rPr>
          <w:rFonts w:ascii="Calibri" w:cs="Calibri" w:eastAsia="Calibri" w:hAnsi="Calibri"/>
          <w:sz w:val="19"/>
          <w:szCs w:val="19"/>
        </w:rPr>
        <w:t xml:space="preserve">Both mean no VAT charged on the sale. Only zero rating preserves the right to recover input tax. A business making exempt supplies bears VAT on its own costs, and one making both needs a partial exemption calculation. Getting this wrong distorts pricing as well as compliance.</w:t>
      </w:r>
    </w:p>
    <w:p>
      <w:pPr>
        <w:keepNext/>
        <w:spacing w:after="40" w:before="140"/>
      </w:pPr>
      <w:r>
        <w:rPr>
          <w:rFonts w:ascii="Calibri" w:cs="Calibri" w:eastAsia="Calibri" w:hAnsi="Calibri"/>
          <w:b/>
          <w:bCs/>
          <w:color w:val="14161B"/>
          <w:sz w:val="20"/>
          <w:szCs w:val="20"/>
        </w:rPr>
        <w:t xml:space="preserve">Designated zones affect goods, not services</w:t>
      </w:r>
    </w:p>
    <w:p>
      <w:pPr>
        <w:spacing w:after="60" w:line="264"/>
        <w:jc w:val="both"/>
      </w:pPr>
      <w:r>
        <w:rPr>
          <w:rFonts w:ascii="Calibri" w:cs="Calibri" w:eastAsia="Calibri" w:hAnsi="Calibri"/>
          <w:sz w:val="19"/>
          <w:szCs w:val="19"/>
        </w:rPr>
        <w:t xml:space="preserve">Services are standard rated at 5% regardless of which zone the supplier sits in. The designated zone concept applies to goods, in defined circumstances, and goods leaving for the mainland become subject to VAT. Free zone businesses routinely assume a broader exemption than exists.</w:t>
      </w:r>
    </w:p>
    <w:p>
      <w:pPr>
        <w:keepNext/>
        <w:spacing w:after="40" w:before="140"/>
      </w:pPr>
      <w:r>
        <w:rPr>
          <w:rFonts w:ascii="Calibri" w:cs="Calibri" w:eastAsia="Calibri" w:hAnsi="Calibri"/>
          <w:b/>
          <w:bCs/>
          <w:color w:val="14161B"/>
          <w:sz w:val="20"/>
          <w:szCs w:val="20"/>
        </w:rPr>
        <w:t xml:space="preserve">The VAT designated zone list is not the corporate tax analysis</w:t>
      </w:r>
    </w:p>
    <w:p>
      <w:pPr>
        <w:spacing w:after="60" w:line="264"/>
        <w:jc w:val="both"/>
      </w:pPr>
      <w:r>
        <w:rPr>
          <w:rFonts w:ascii="Calibri" w:cs="Calibri" w:eastAsia="Calibri" w:hAnsi="Calibri"/>
          <w:sz w:val="19"/>
          <w:szCs w:val="19"/>
        </w:rPr>
        <w:t xml:space="preserve">Two separate regimes with separate lists. A zone designated for VAT purposes tells you nothing conclusive about qualifying income for corporate tax, and the conflation produces confident but wrong conclusions.</w:t>
      </w:r>
    </w:p>
    <w:p>
      <w:pPr>
        <w:keepNext/>
        <w:spacing w:after="40" w:before="140"/>
      </w:pPr>
      <w:r>
        <w:rPr>
          <w:rFonts w:ascii="Calibri" w:cs="Calibri" w:eastAsia="Calibri" w:hAnsi="Calibri"/>
          <w:b/>
          <w:bCs/>
          <w:color w:val="14161B"/>
          <w:sz w:val="20"/>
          <w:szCs w:val="20"/>
        </w:rPr>
        <w:t xml:space="preserve">State VAT in AED, always</w:t>
      </w:r>
    </w:p>
    <w:p>
      <w:pPr>
        <w:spacing w:after="60" w:line="264"/>
        <w:jc w:val="both"/>
      </w:pPr>
      <w:r>
        <w:rPr>
          <w:rFonts w:ascii="Calibri" w:cs="Calibri" w:eastAsia="Calibri" w:hAnsi="Calibri"/>
          <w:sz w:val="19"/>
          <w:szCs w:val="19"/>
        </w:rPr>
        <w:t xml:space="preserve">Even where the invoice is denominated in another currency, the VAT amount must appear in AED using the required exchange rate. Invoices from businesses billing overseas clients in dollars or euros commonly miss this.</w:t>
      </w:r>
    </w:p>
    <w:p>
      <w:pPr>
        <w:keepNext/>
        <w:spacing w:after="40" w:before="140"/>
      </w:pPr>
      <w:r>
        <w:rPr>
          <w:rFonts w:ascii="Calibri" w:cs="Calibri" w:eastAsia="Calibri" w:hAnsi="Calibri"/>
          <w:b/>
          <w:bCs/>
          <w:color w:val="14161B"/>
          <w:sz w:val="20"/>
          <w:szCs w:val="20"/>
        </w:rPr>
        <w:t xml:space="preserve">An invalid tax invoice is your customer’s problem too</w:t>
      </w:r>
    </w:p>
    <w:p>
      <w:pPr>
        <w:spacing w:after="60" w:line="264"/>
        <w:jc w:val="both"/>
      </w:pPr>
      <w:r>
        <w:rPr>
          <w:rFonts w:ascii="Calibri" w:cs="Calibri" w:eastAsia="Calibri" w:hAnsi="Calibri"/>
          <w:sz w:val="19"/>
          <w:szCs w:val="19"/>
        </w:rPr>
        <w:t xml:space="preserve">A defective invoice can deny the customer input tax recovery. That turns a compliance point into a commercial dispute and a request to reissue. The twelve-point checklist takes minutes to build into the invoice template and prevents it.</w:t>
      </w:r>
    </w:p>
    <w:p>
      <w:pPr>
        <w:keepNext/>
        <w:spacing w:after="40" w:before="140"/>
      </w:pPr>
      <w:r>
        <w:rPr>
          <w:rFonts w:ascii="Calibri" w:cs="Calibri" w:eastAsia="Calibri" w:hAnsi="Calibri"/>
          <w:b/>
          <w:bCs/>
          <w:color w:val="14161B"/>
          <w:sz w:val="20"/>
          <w:szCs w:val="20"/>
        </w:rPr>
        <w:t xml:space="preserve">Reverse charge on imported services is the most missed item</w:t>
      </w:r>
    </w:p>
    <w:p>
      <w:pPr>
        <w:spacing w:after="60" w:line="264"/>
        <w:jc w:val="both"/>
      </w:pPr>
      <w:r>
        <w:rPr>
          <w:rFonts w:ascii="Calibri" w:cs="Calibri" w:eastAsia="Calibri" w:hAnsi="Calibri"/>
          <w:sz w:val="19"/>
          <w:szCs w:val="19"/>
        </w:rPr>
        <w:t xml:space="preserve">Software subscriptions, overseas consultants, marketing platforms and professional advice from abroad all commonly attract the reverse charge. Businesses account for it on goods and overlook it on services, and it surfaces years later on audit.</w:t>
      </w:r>
    </w:p>
    <w:p>
      <w:pPr>
        <w:keepNext/>
        <w:spacing w:after="40" w:before="140"/>
      </w:pPr>
      <w:r>
        <w:rPr>
          <w:rFonts w:ascii="Calibri" w:cs="Calibri" w:eastAsia="Calibri" w:hAnsi="Calibri"/>
          <w:b/>
          <w:bCs/>
          <w:color w:val="14161B"/>
          <w:sz w:val="20"/>
          <w:szCs w:val="20"/>
        </w:rPr>
        <w:t xml:space="preserve">Know what input tax is blocked</w:t>
      </w:r>
    </w:p>
    <w:p>
      <w:pPr>
        <w:spacing w:after="60" w:line="264"/>
        <w:jc w:val="both"/>
      </w:pPr>
      <w:r>
        <w:rPr>
          <w:rFonts w:ascii="Calibri" w:cs="Calibri" w:eastAsia="Calibri" w:hAnsi="Calibri"/>
          <w:sz w:val="19"/>
          <w:szCs w:val="19"/>
        </w:rPr>
        <w:t xml:space="preserve">Entertainment, motor vehicles available for personal use and certain employee-related costs are generally not recoverable. Recovering them is one of the most frequently assessed errors, and it is systematic rather than occasional — so the assessment covers every period.</w:t>
      </w:r>
    </w:p>
    <w:p>
      <w:pPr>
        <w:keepNext/>
        <w:spacing w:after="40" w:before="140"/>
      </w:pPr>
      <w:r>
        <w:rPr>
          <w:rFonts w:ascii="Calibri" w:cs="Calibri" w:eastAsia="Calibri" w:hAnsi="Calibri"/>
          <w:b/>
          <w:bCs/>
          <w:color w:val="14161B"/>
          <w:sz w:val="20"/>
          <w:szCs w:val="20"/>
        </w:rPr>
        <w:t xml:space="preserve">Claim credit balances before the window closes</w:t>
      </w:r>
    </w:p>
    <w:p>
      <w:pPr>
        <w:spacing w:after="60" w:line="264"/>
        <w:jc w:val="both"/>
      </w:pPr>
      <w:r>
        <w:rPr>
          <w:rFonts w:ascii="Calibri" w:cs="Calibri" w:eastAsia="Calibri" w:hAnsi="Calibri"/>
          <w:sz w:val="19"/>
          <w:szCs w:val="19"/>
        </w:rPr>
        <w:t xml:space="preserve">A refund of a credit balance must be requested within the period allowed from the end of the relevant tax period. Businesses carrying credits forward indefinitely lose them. Review the ageing of credits by originating period, not as a single balance.</w:t>
      </w:r>
    </w:p>
    <w:p>
      <w:pPr>
        <w:keepNext/>
        <w:spacing w:after="40" w:before="140"/>
      </w:pPr>
      <w:r>
        <w:rPr>
          <w:rFonts w:ascii="Calibri" w:cs="Calibri" w:eastAsia="Calibri" w:hAnsi="Calibri"/>
          <w:b/>
          <w:bCs/>
          <w:color w:val="14161B"/>
          <w:sz w:val="20"/>
          <w:szCs w:val="20"/>
        </w:rPr>
        <w:t xml:space="preserve">Voluntary disclosure beats assessment</w:t>
      </w:r>
    </w:p>
    <w:p>
      <w:pPr>
        <w:spacing w:after="60" w:line="264"/>
        <w:jc w:val="both"/>
      </w:pPr>
      <w:r>
        <w:rPr>
          <w:rFonts w:ascii="Calibri" w:cs="Calibri" w:eastAsia="Calibri" w:hAnsi="Calibri"/>
          <w:sz w:val="19"/>
          <w:szCs w:val="19"/>
        </w:rPr>
        <w:t xml:space="preserve">Where an error is found, correcting it through a voluntary disclosure is materially better than waiting to be assessed. The penalty position differs and the posture with the authority differs.</w:t>
      </w:r>
    </w:p>
    <w:p>
      <w:pPr>
        <w:keepNext/>
        <w:spacing w:after="40" w:before="140"/>
      </w:pPr>
      <w:r>
        <w:rPr>
          <w:rFonts w:ascii="Calibri" w:cs="Calibri" w:eastAsia="Calibri" w:hAnsi="Calibri"/>
          <w:b/>
          <w:bCs/>
          <w:color w:val="14161B"/>
          <w:sz w:val="20"/>
          <w:szCs w:val="20"/>
        </w:rPr>
        <w:t xml:space="preserve">E-invoicing is not PDF invoicing</w:t>
      </w:r>
    </w:p>
    <w:p>
      <w:pPr>
        <w:spacing w:after="60" w:line="264"/>
        <w:jc w:val="both"/>
      </w:pPr>
      <w:r>
        <w:rPr>
          <w:rFonts w:ascii="Calibri" w:cs="Calibri" w:eastAsia="Calibri" w:hAnsi="Calibri"/>
          <w:sz w:val="19"/>
          <w:szCs w:val="19"/>
        </w:rPr>
        <w:t xml:space="preserve">The requirement is structured, validated invoice data exchanged through an accredited channel. Emailing a PDF, however well formatted, does not satisfy it. Businesses that assume their current invoicing is already electronic will be caught out.</w:t>
      </w:r>
    </w:p>
    <w:p>
      <w:pPr>
        <w:keepNext/>
        <w:spacing w:after="40" w:before="140"/>
      </w:pPr>
      <w:r>
        <w:rPr>
          <w:rFonts w:ascii="Calibri" w:cs="Calibri" w:eastAsia="Calibri" w:hAnsi="Calibri"/>
          <w:b/>
          <w:bCs/>
          <w:color w:val="14161B"/>
          <w:sz w:val="20"/>
          <w:szCs w:val="20"/>
        </w:rPr>
        <w:t xml:space="preserve">Clean the master data early</w:t>
      </w:r>
    </w:p>
    <w:p>
      <w:pPr>
        <w:spacing w:after="60" w:line="264"/>
        <w:jc w:val="both"/>
      </w:pPr>
      <w:r>
        <w:rPr>
          <w:rFonts w:ascii="Calibri" w:cs="Calibri" w:eastAsia="Calibri" w:hAnsi="Calibri"/>
          <w:sz w:val="19"/>
          <w:szCs w:val="19"/>
        </w:rPr>
        <w:t xml:space="preserve">Customer TRNs, legal names, addresses and item codes pass unnoticed on a PDF and fail validation on a structured invoice. Master data cleansing is the longest part of an e-invoicing implementation and the part that cannot be compressed at the end.</w:t>
      </w:r>
    </w:p>
    <w:p>
      <w:pPr>
        <w:keepNext/>
        <w:spacing w:after="40" w:before="140"/>
      </w:pPr>
      <w:r>
        <w:rPr>
          <w:rFonts w:ascii="Calibri" w:cs="Calibri" w:eastAsia="Calibri" w:hAnsi="Calibri"/>
          <w:b/>
          <w:bCs/>
          <w:color w:val="14161B"/>
          <w:sz w:val="20"/>
          <w:szCs w:val="20"/>
        </w:rPr>
        <w:t xml:space="preserve">Free zone status does not exempt you from e-invoicing</w:t>
      </w:r>
    </w:p>
    <w:p>
      <w:pPr>
        <w:spacing w:after="60" w:line="264"/>
        <w:jc w:val="both"/>
      </w:pPr>
      <w:r>
        <w:rPr>
          <w:rFonts w:ascii="Calibri" w:cs="Calibri" w:eastAsia="Calibri" w:hAnsi="Calibri"/>
          <w:sz w:val="19"/>
          <w:szCs w:val="19"/>
        </w:rPr>
        <w:t xml:space="preserve">Assess invoicing obligations separately from corporate tax treatment. A Qualifying Free Zone Person on 0% corporate tax may still be fully within the e-invoicing mandate.</w:t>
      </w:r>
    </w:p>
    <w:p>
      <w:pPr>
        <w:keepNext/>
        <w:spacing w:after="40" w:before="140"/>
      </w:pPr>
      <w:r>
        <w:rPr>
          <w:rFonts w:ascii="Calibri" w:cs="Calibri" w:eastAsia="Calibri" w:hAnsi="Calibri"/>
          <w:b/>
          <w:bCs/>
          <w:color w:val="14161B"/>
          <w:sz w:val="20"/>
          <w:szCs w:val="20"/>
        </w:rPr>
        <w:t xml:space="preserve">The penalty framework changed</w:t>
      </w:r>
    </w:p>
    <w:p>
      <w:pPr>
        <w:spacing w:after="60" w:line="264"/>
        <w:jc w:val="both"/>
      </w:pPr>
      <w:r>
        <w:rPr>
          <w:rFonts w:ascii="Calibri" w:cs="Calibri" w:eastAsia="Calibri" w:hAnsi="Calibri"/>
          <w:sz w:val="19"/>
          <w:szCs w:val="19"/>
        </w:rPr>
        <w:t xml:space="preserve">The FTA penalty regime was rewritten with effect from 2026. Figures and structures from earlier guidance are unreliable. Confirm the current schedule before assessing exposure on a late filing or an error.</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VAT law and practice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Registration thresholds, designated zone lists, invoice particulars, the e-invoicing phasing and thresholds, and the FTA penalty framework all change — </w:t>
      </w:r>
      <w:r>
        <w:rPr>
          <w:rFonts w:ascii="Calibri" w:cs="Calibri" w:eastAsia="Calibri" w:hAnsi="Calibri"/>
          <w:b/>
          <w:bCs/>
          <w:sz w:val="19"/>
          <w:szCs w:val="19"/>
        </w:rPr>
        <w:t xml:space="preserve">the e-invoicing timetable beyond the first phase is reported inconsistently and must be verified</w:t>
      </w:r>
      <w:r>
        <w:rPr>
          <w:rFonts w:ascii="Calibri" w:cs="Calibri" w:eastAsia="Calibri" w:hAnsi="Calibri"/>
          <w:sz w:val="19"/>
          <w:szCs w:val="19"/>
        </w:rPr>
        <w:t xml:space="preserve"> — confirm with the Federal Tax Authority or a UAE tax adviser.</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2026-08-23T16:28:33.878Z</dcterms:created>
  <dcterms:modified xsi:type="dcterms:W3CDTF">2026-08-23T16:28:33.878Z</dcterms:modified>
</cp:coreProperties>
</file>

<file path=docProps/custom.xml><?xml version="1.0" encoding="utf-8"?>
<Properties xmlns="http://schemas.openxmlformats.org/officeDocument/2006/custom-properties" xmlns:vt="http://schemas.openxmlformats.org/officeDocument/2006/docPropsVTypes"/>
</file>