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BENEFICIAL OWNERSHIP AND AML</w:t>
      </w:r>
    </w:p>
    <w:p>
      <w:pPr>
        <w:spacing w:after="260"/>
        <w:jc w:val="center"/>
      </w:pPr>
      <w:r>
        <w:rPr>
          <w:rFonts w:ascii="Calibri" w:cs="Calibri" w:eastAsia="Calibri" w:hAnsi="Calibri"/>
          <w:i/>
          <w:iCs/>
          <w:color w:val="6E7480"/>
          <w:sz w:val="19"/>
          <w:szCs w:val="19"/>
        </w:rPr>
        <w:t xml:space="preserve">UBO register, filing and anti-money-laundering obligations</w:t>
      </w:r>
    </w:p>
    <w:p>
      <w:pPr>
        <w:spacing w:after="180" w:before="0" w:line="276"/>
        <w:jc w:val="both"/>
      </w:pPr>
      <w:r>
        <w:rPr>
          <w:rFonts w:ascii="Calibri" w:cs="Calibri" w:eastAsia="Calibri" w:hAnsi="Calibri"/>
          <w:i/>
          <w:iCs/>
          <w:color w:val="6E7480"/>
          <w:sz w:val="21"/>
          <w:szCs w:val="21"/>
        </w:rPr>
        <w:t xml:space="preserve">Two obligations that arrive together and are treated as paperwork until they are not. The </w:t>
      </w:r>
      <w:r>
        <w:rPr>
          <w:rFonts w:ascii="Calibri" w:cs="Calibri" w:eastAsia="Calibri" w:hAnsi="Calibri"/>
          <w:b/>
          <w:bCs/>
          <w:i/>
          <w:iCs/>
          <w:color w:val="6E7480"/>
          <w:sz w:val="21"/>
          <w:szCs w:val="21"/>
        </w:rPr>
        <w:t xml:space="preserve">UBO register</w:t>
      </w:r>
      <w:r>
        <w:rPr>
          <w:rFonts w:ascii="Calibri" w:cs="Calibri" w:eastAsia="Calibri" w:hAnsi="Calibri"/>
          <w:i/>
          <w:iCs/>
          <w:color w:val="6E7480"/>
          <w:sz w:val="21"/>
          <w:szCs w:val="21"/>
        </w:rPr>
        <w:t xml:space="preserve"> must be established, filed and kept current; the </w:t>
      </w:r>
      <w:r>
        <w:rPr>
          <w:rFonts w:ascii="Calibri" w:cs="Calibri" w:eastAsia="Calibri" w:hAnsi="Calibri"/>
          <w:b/>
          <w:bCs/>
          <w:i/>
          <w:iCs/>
          <w:color w:val="6E7480"/>
          <w:sz w:val="21"/>
          <w:szCs w:val="21"/>
        </w:rPr>
        <w:t xml:space="preserve">AML framework</w:t>
      </w:r>
      <w:r>
        <w:rPr>
          <w:rFonts w:ascii="Calibri" w:cs="Calibri" w:eastAsia="Calibri" w:hAnsi="Calibri"/>
          <w:i/>
          <w:iCs/>
          <w:color w:val="6E7480"/>
          <w:sz w:val="21"/>
          <w:szCs w:val="21"/>
        </w:rPr>
        <w:t xml:space="preserve"> applies in full to designated non-financial businesses — real estate, dealers in precious metals and stones, auditors, and corporate service providers — with registration on goAML and reporting duties.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Entity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Registrar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[DED / Free zone authority]</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UBO threshold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25%</w:t>
            </w:r>
            <w:r>
              <w:rPr>
                <w:rFonts w:ascii="Calibri" w:cs="Calibri" w:eastAsia="Calibri" w:hAnsi="Calibri"/>
                <w:sz w:val="19"/>
                <w:szCs w:val="19"/>
              </w:rPr>
              <w:t xml:space="preserve"> of shares or voting rights, or control by other means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Ultimate beneficial owners identified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 established 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Filed with the registrar 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Last updated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Is the entity a DNFBP?</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r>
              <w:rPr>
                <w:rFonts w:ascii="Calibri" w:cs="Calibri" w:eastAsia="Calibri" w:hAnsi="Calibri"/>
                <w:sz w:val="19"/>
                <w:szCs w:val="19"/>
              </w:rPr>
              <w:t xml:space="preserve"> — see Section 4</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goAML registration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[Registered on ______ / Not applicable]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Compliance officer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Next review</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IDENTIFYING THE BENEFICIAL OWNER</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A </w:t>
      </w:r>
      <w:r>
        <w:rPr>
          <w:rFonts w:ascii="Calibri" w:cs="Calibri" w:eastAsia="Calibri" w:hAnsi="Calibri"/>
          <w:b/>
          <w:bCs/>
          <w:sz w:val="21"/>
          <w:szCs w:val="21"/>
        </w:rPr>
        <w:t xml:space="preserve">real beneficial owner</w:t>
      </w:r>
      <w:r>
        <w:rPr>
          <w:rFonts w:ascii="Calibri" w:cs="Calibri" w:eastAsia="Calibri" w:hAnsi="Calibri"/>
          <w:sz w:val="21"/>
          <w:szCs w:val="21"/>
        </w:rPr>
        <w:t xml:space="preserve"> is the natural person who ultimately owns or controls the company, whether directly or through a chain of ownership.</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2505"/>
        <w:gridCol w:w="6652"/>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Test</w:t>
            </w:r>
          </w:p>
        </w:tc>
        <w:tc>
          <w:tcPr>
            <w:tcW w:type="dxa" w:w="66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Apply in order</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Ownership</w:t>
            </w:r>
          </w:p>
        </w:tc>
        <w:tc>
          <w:tcPr>
            <w:tcW w:type="dxa" w:w="665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natural person holding </w:t>
            </w:r>
            <w:r>
              <w:rPr>
                <w:rFonts w:ascii="Calibri" w:cs="Calibri" w:eastAsia="Calibri" w:hAnsi="Calibri"/>
                <w:b/>
                <w:bCs/>
                <w:sz w:val="18"/>
                <w:szCs w:val="18"/>
              </w:rPr>
              <w:t xml:space="preserve">25% or more</w:t>
            </w:r>
            <w:r>
              <w:rPr>
                <w:rFonts w:ascii="Calibri" w:cs="Calibri" w:eastAsia="Calibri" w:hAnsi="Calibri"/>
                <w:sz w:val="18"/>
                <w:szCs w:val="18"/>
              </w:rPr>
              <w:t xml:space="preserve"> of the shares, directly or indirectly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Voting rights</w:t>
            </w:r>
          </w:p>
        </w:tc>
        <w:tc>
          <w:tcPr>
            <w:tcW w:type="dxa" w:w="665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natural person controlling </w:t>
            </w:r>
            <w:r>
              <w:rPr>
                <w:rFonts w:ascii="Calibri" w:cs="Calibri" w:eastAsia="Calibri" w:hAnsi="Calibri"/>
                <w:b/>
                <w:bCs/>
                <w:sz w:val="18"/>
                <w:szCs w:val="18"/>
              </w:rPr>
              <w:t xml:space="preserve">25% or more</w:t>
            </w:r>
            <w:r>
              <w:rPr>
                <w:rFonts w:ascii="Calibri" w:cs="Calibri" w:eastAsia="Calibri" w:hAnsi="Calibri"/>
                <w:sz w:val="18"/>
                <w:szCs w:val="18"/>
              </w:rPr>
              <w:t xml:space="preserve"> of the voting rights</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Control by other means</w:t>
            </w:r>
          </w:p>
        </w:tc>
        <w:tc>
          <w:tcPr>
            <w:tcW w:type="dxa" w:w="665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natural person with the right to appoint or remove the majority of managers or directors, or who otherwise exercises control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Senior management</w:t>
            </w:r>
          </w:p>
        </w:tc>
        <w:tc>
          <w:tcPr>
            <w:tcW w:type="dxa" w:w="665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no person is identified under tests 1 to 3, the natural person holding the position of senior management</w:t>
            </w:r>
          </w:p>
        </w:tc>
      </w:tr>
    </w:tbl>
    <w:p>
      <w:pPr>
        <w:spacing w:after="140"/>
      </w:pP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b/>
          <w:bCs/>
          <w:sz w:val="21"/>
          <w:szCs w:val="21"/>
        </w:rPr>
        <w:t xml:space="preserve">The beneficial owner is always a natural person.</w:t>
      </w:r>
      <w:r>
        <w:rPr>
          <w:rFonts w:ascii="Calibri" w:cs="Calibri" w:eastAsia="Calibri" w:hAnsi="Calibri"/>
          <w:sz w:val="21"/>
          <w:szCs w:val="21"/>
        </w:rPr>
        <w:t xml:space="preserve"> A corporate shareholder is not the answer — look through it to the individuals behind it, however many layers there are.</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Where ownership is held through a trust, foundation or nominee arrangement, identify the individuals who ultimately benefit or control.</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i/>
          <w:iCs/>
          <w:sz w:val="21"/>
          <w:szCs w:val="21"/>
        </w:rPr>
        <w:t xml:space="preserve">Test 4 exists so the register is never empty. A widely held company with no 25% holder still records its senior management. Filing "none" is not an option.</w:t>
      </w:r>
    </w:p>
    <w:p>
      <w:pPr>
        <w:keepNext/>
        <w:spacing w:after="120" w:before="280"/>
        <w:outlineLvl w:val="0"/>
      </w:pPr>
      <w:r>
        <w:rPr>
          <w:rFonts w:ascii="Calibri" w:cs="Calibri" w:eastAsia="Calibri" w:hAnsi="Calibri"/>
          <w:b/>
          <w:bCs/>
          <w:color w:val="14161B"/>
          <w:sz w:val="22"/>
          <w:szCs w:val="22"/>
        </w:rPr>
        <w:t xml:space="preserve">2. THE REGISTERS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5204"/>
        <w:gridCol w:w="1929"/>
      </w:tblGrid>
      <w:tr>
        <w:trPr>
          <w:cantSplit/>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Register</w:t>
            </w:r>
          </w:p>
        </w:tc>
        <w:tc>
          <w:tcPr>
            <w:tcW w:type="dxa" w:w="52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Records</w:t>
            </w:r>
          </w:p>
        </w:tc>
        <w:tc>
          <w:tcPr>
            <w:tcW w:type="dxa" w:w="192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Register of Real Beneficial Owners</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Name, nationality, date and place of birth, address, passport or ID details, basis and date on which they became a beneficial owner, and the date they ceased</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core register</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Register of Partners or Shareholders</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Legal owners, their holdings, and the dates of acquisition</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legal ownership layer</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Register of Nominee Directors</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a director acts on another’s instructions, and the details of the nominator</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applicable</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Registers are maintained at the registered office, filed with the registrar, and </w:t>
      </w:r>
      <w:r>
        <w:rPr>
          <w:rFonts w:ascii="Calibri" w:cs="Calibri" w:eastAsia="Calibri" w:hAnsi="Calibri"/>
          <w:b/>
          <w:bCs/>
          <w:sz w:val="21"/>
          <w:szCs w:val="21"/>
        </w:rPr>
        <w:t xml:space="preserve">updated within the prescribed period of any change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A nominee director must disclose their status to the company, and the company records it.</w:t>
      </w:r>
    </w:p>
    <w:p>
      <w:pPr>
        <w:keepNext/>
        <w:spacing w:after="120" w:before="280"/>
        <w:outlineLvl w:val="0"/>
      </w:pPr>
      <w:r>
        <w:rPr>
          <w:rFonts w:ascii="Calibri" w:cs="Calibri" w:eastAsia="Calibri" w:hAnsi="Calibri"/>
          <w:b/>
          <w:bCs/>
          <w:color w:val="14161B"/>
          <w:sz w:val="22"/>
          <w:szCs w:val="22"/>
        </w:rPr>
        <w:t xml:space="preserve">3. OBLIGATIONS CYCLE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433"/>
        <w:gridCol w:w="3276"/>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Task</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When</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Identify beneficial owners applying the tests in order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incorporation</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Obtain identification documents for each</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identification</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Establish the registers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Within the prescribed period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File with the registrar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Within the prescribed period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Notify the registrar of any change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Within the prescribed period of the change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the register annually as part of licence renewal</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Annually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Review on any share transfer, new investor or restructuring</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the event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Retain records after the entity ceases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the statutory period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i/>
          <w:iCs/>
          <w:sz w:val="21"/>
          <w:szCs w:val="21"/>
        </w:rPr>
        <w:t xml:space="preserve">Step 5 is where compliance fails. Registers are established diligently at incorporation and then never touched, while shares transfer, investors join and holding structures change. The register becomes wrong quietly, and it is checked at exactly the wrong moment — a bank review, a licence renewal, or due diligence.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DESIGNATED NON-FINANCIAL BUSINESSES AND PROFESSIONS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A </w:t>
      </w:r>
      <w:r>
        <w:rPr>
          <w:rFonts w:ascii="Calibri" w:cs="Calibri" w:eastAsia="Calibri" w:hAnsi="Calibri"/>
          <w:b/>
          <w:bCs/>
          <w:sz w:val="21"/>
          <w:szCs w:val="21"/>
        </w:rPr>
        <w:t xml:space="preserve">DNFBP</w:t>
      </w:r>
      <w:r>
        <w:rPr>
          <w:rFonts w:ascii="Calibri" w:cs="Calibri" w:eastAsia="Calibri" w:hAnsi="Calibri"/>
          <w:sz w:val="21"/>
          <w:szCs w:val="21"/>
        </w:rPr>
        <w:t xml:space="preserve"> is subject to the full anti-money-laundering framework. The categories include: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Category</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Applies to us?</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Brokers and agents in </w:t>
            </w:r>
            <w:r>
              <w:rPr>
                <w:rFonts w:ascii="Calibri" w:cs="Calibri" w:eastAsia="Calibri" w:hAnsi="Calibri"/>
                <w:b/>
                <w:bCs/>
                <w:sz w:val="18"/>
                <w:szCs w:val="18"/>
              </w:rPr>
              <w:t xml:space="preserve">real estate</w:t>
            </w:r>
            <w:r>
              <w:rPr>
                <w:rFonts w:ascii="Calibri" w:cs="Calibri" w:eastAsia="Calibri" w:hAnsi="Calibri"/>
                <w:sz w:val="18"/>
                <w:szCs w:val="18"/>
              </w:rPr>
              <w:t xml:space="preserve"> transactions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Dealers in </w:t>
            </w:r>
            <w:r>
              <w:rPr>
                <w:rFonts w:ascii="Calibri" w:cs="Calibri" w:eastAsia="Calibri" w:hAnsi="Calibri"/>
                <w:b/>
                <w:bCs/>
                <w:sz w:val="18"/>
                <w:szCs w:val="18"/>
              </w:rPr>
              <w:t xml:space="preserve">precious metals and precious stones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Auditors and accountants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Corporate service providers</w:t>
            </w:r>
            <w:r>
              <w:rPr>
                <w:rFonts w:ascii="Calibri" w:cs="Calibri" w:eastAsia="Calibri" w:hAnsi="Calibri"/>
                <w:sz w:val="18"/>
                <w:szCs w:val="18"/>
              </w:rPr>
              <w:t xml:space="preserve"> — company formation, registered office, nominee arrangements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Lawyers, notaries and other independent legal professionals, for defined activities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[Other category prescribed]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spacing w:after="140"/>
      </w:pP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A DNFBP must register on </w:t>
      </w:r>
      <w:r>
        <w:rPr>
          <w:rFonts w:ascii="Calibri" w:cs="Calibri" w:eastAsia="Calibri" w:hAnsi="Calibri"/>
          <w:b/>
          <w:bCs/>
          <w:sz w:val="21"/>
          <w:szCs w:val="21"/>
        </w:rPr>
        <w:t xml:space="preserve">goAML</w:t>
      </w:r>
      <w:r>
        <w:rPr>
          <w:rFonts w:ascii="Calibri" w:cs="Calibri" w:eastAsia="Calibri" w:hAnsi="Calibri"/>
          <w:sz w:val="21"/>
          <w:szCs w:val="21"/>
        </w:rPr>
        <w:t xml:space="preserve">, appoint a compliance officer, carry out a business risk assessment, apply customer due diligence, screen against sanctions lists, monitor transactions, and file </w:t>
      </w:r>
      <w:r>
        <w:rPr>
          <w:rFonts w:ascii="Calibri" w:cs="Calibri" w:eastAsia="Calibri" w:hAnsi="Calibri"/>
          <w:b/>
          <w:bCs/>
          <w:sz w:val="21"/>
          <w:szCs w:val="21"/>
        </w:rPr>
        <w:t xml:space="preserve">suspicious transaction reports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i/>
          <w:iCs/>
          <w:sz w:val="21"/>
          <w:szCs w:val="21"/>
        </w:rPr>
        <w:t xml:space="preserve">Businesses frequently do not realise they are a DNFBP. A company formation agent, a property brokerage and a gold trader are all in scope, and registration is not optional.</w:t>
      </w:r>
    </w:p>
    <w:p>
      <w:pPr>
        <w:keepNext/>
        <w:spacing w:after="120" w:before="280"/>
        <w:outlineLvl w:val="0"/>
      </w:pPr>
      <w:r>
        <w:rPr>
          <w:rFonts w:ascii="Calibri" w:cs="Calibri" w:eastAsia="Calibri" w:hAnsi="Calibri"/>
          <w:b/>
          <w:bCs/>
          <w:color w:val="14161B"/>
          <w:sz w:val="22"/>
          <w:szCs w:val="22"/>
        </w:rPr>
        <w:t xml:space="preserve">5. CUSTOMER DUE DILIGENCE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3084"/>
        <w:gridCol w:w="6073"/>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607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Identify the customer</w:t>
            </w:r>
          </w:p>
        </w:tc>
        <w:tc>
          <w:tcPr>
            <w:tcW w:type="dxa" w:w="607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Legal name, registration, address; identification documents</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Identify the beneficial owner</w:t>
            </w:r>
          </w:p>
        </w:tc>
        <w:tc>
          <w:tcPr>
            <w:tcW w:type="dxa" w:w="607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Look through corporate layers to natural persons</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Verify identity</w:t>
            </w:r>
          </w:p>
        </w:tc>
        <w:tc>
          <w:tcPr>
            <w:tcW w:type="dxa" w:w="607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Independent, reliable source documents</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Understand the purpose</w:t>
            </w:r>
            <w:r>
              <w:rPr>
                <w:rFonts w:ascii="Calibri" w:cs="Calibri" w:eastAsia="Calibri" w:hAnsi="Calibri"/>
                <w:sz w:val="17"/>
                <w:szCs w:val="17"/>
              </w:rPr>
              <w:t xml:space="preserve"> of the relationship</w:t>
            </w:r>
          </w:p>
        </w:tc>
        <w:tc>
          <w:tcPr>
            <w:tcW w:type="dxa" w:w="607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Nature of business and expected activity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Screen</w:t>
            </w:r>
            <w:r>
              <w:rPr>
                <w:rFonts w:ascii="Calibri" w:cs="Calibri" w:eastAsia="Calibri" w:hAnsi="Calibri"/>
                <w:sz w:val="17"/>
                <w:szCs w:val="17"/>
              </w:rPr>
              <w:t xml:space="preserve"> against sanctions and PEP lists</w:t>
            </w:r>
          </w:p>
        </w:tc>
        <w:tc>
          <w:tcPr>
            <w:tcW w:type="dxa" w:w="607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At onboarding and on an ongoing basis</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Assess risk and apply </w:t>
            </w:r>
            <w:r>
              <w:rPr>
                <w:rFonts w:ascii="Calibri" w:cs="Calibri" w:eastAsia="Calibri" w:hAnsi="Calibri"/>
                <w:b/>
                <w:bCs/>
                <w:sz w:val="17"/>
                <w:szCs w:val="17"/>
              </w:rPr>
              <w:t xml:space="preserve">enhanced due diligence</w:t>
            </w:r>
            <w:r>
              <w:rPr>
                <w:rFonts w:ascii="Calibri" w:cs="Calibri" w:eastAsia="Calibri" w:hAnsi="Calibri"/>
                <w:sz w:val="17"/>
                <w:szCs w:val="17"/>
              </w:rPr>
              <w:t xml:space="preserve"> where higher</w:t>
            </w:r>
          </w:p>
        </w:tc>
        <w:tc>
          <w:tcPr>
            <w:tcW w:type="dxa" w:w="607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PEPs, high-risk jurisdictions, complex structures</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Monitor</w:t>
            </w:r>
            <w:r>
              <w:rPr>
                <w:rFonts w:ascii="Calibri" w:cs="Calibri" w:eastAsia="Calibri" w:hAnsi="Calibri"/>
                <w:sz w:val="17"/>
                <w:szCs w:val="17"/>
              </w:rPr>
              <w:t xml:space="preserve"> the relationship and transactions</w:t>
            </w:r>
          </w:p>
        </w:tc>
        <w:tc>
          <w:tcPr>
            <w:tcW w:type="dxa" w:w="607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Ongoing, not one-off</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Report</w:t>
            </w:r>
            <w:r>
              <w:rPr>
                <w:rFonts w:ascii="Calibri" w:cs="Calibri" w:eastAsia="Calibri" w:hAnsi="Calibri"/>
                <w:sz w:val="17"/>
                <w:szCs w:val="17"/>
              </w:rPr>
              <w:t xml:space="preserve"> suspicion through goAML</w:t>
            </w:r>
          </w:p>
        </w:tc>
        <w:tc>
          <w:tcPr>
            <w:tcW w:type="dxa" w:w="607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Without tipping off the customer</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Retain</w:t>
            </w:r>
            <w:r>
              <w:rPr>
                <w:rFonts w:ascii="Calibri" w:cs="Calibri" w:eastAsia="Calibri" w:hAnsi="Calibri"/>
                <w:sz w:val="17"/>
                <w:szCs w:val="17"/>
              </w:rPr>
              <w:t xml:space="preserve"> records</w:t>
            </w:r>
          </w:p>
        </w:tc>
        <w:tc>
          <w:tcPr>
            <w:tcW w:type="dxa" w:w="607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For the statutory period after the relationship ends</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b/>
          <w:bCs/>
          <w:sz w:val="21"/>
          <w:szCs w:val="21"/>
        </w:rPr>
        <w:t xml:space="preserve">Tipping off is an offence.</w:t>
      </w:r>
      <w:r>
        <w:rPr>
          <w:rFonts w:ascii="Calibri" w:cs="Calibri" w:eastAsia="Calibri" w:hAnsi="Calibri"/>
          <w:sz w:val="21"/>
          <w:szCs w:val="21"/>
        </w:rPr>
        <w:t xml:space="preserve"> Where a report is filed, the customer must not be told, and the business must not act in a way that reveals it.</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Sanctions screening is a continuing obligation, not an onboarding formality. Lists change.</w:t>
      </w:r>
    </w:p>
    <w:p>
      <w:pPr>
        <w:keepNext/>
        <w:spacing w:after="120" w:before="280"/>
        <w:outlineLvl w:val="0"/>
      </w:pPr>
      <w:r>
        <w:rPr>
          <w:rFonts w:ascii="Calibri" w:cs="Calibri" w:eastAsia="Calibri" w:hAnsi="Calibri"/>
          <w:b/>
          <w:bCs/>
          <w:color w:val="14161B"/>
          <w:sz w:val="22"/>
          <w:szCs w:val="22"/>
        </w:rPr>
        <w:t xml:space="preserve">6. CONSEQUENCES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Failure</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Consequence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UBO register not established or filed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Administrative penalties; licence services may be suspended</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not updated on change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Penalty; the register is wrong when it is relied on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DNFBP not registered on goAML</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Substantial penalties; the obligation is not discretionary</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compliance officer or risk assessment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Penalty on inspection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Failure to report a suspicious transaction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Penalties and potential criminal exposure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Tipping off</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Criminal offence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Poor records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Penalties, and an inability to demonstrate the work was done</w:t>
            </w:r>
          </w:p>
        </w:tc>
      </w:tr>
    </w:tbl>
    <w:p>
      <w:pPr>
        <w:spacing w:after="160"/>
      </w:pPr>
    </w:p>
    <w:p>
      <w:pPr>
        <w:keepNext/>
        <w:spacing w:after="120" w:before="280"/>
        <w:outlineLvl w:val="0"/>
      </w:pPr>
      <w:r>
        <w:rPr>
          <w:rFonts w:ascii="Calibri" w:cs="Calibri" w:eastAsia="Calibri" w:hAnsi="Calibri"/>
          <w:b/>
          <w:bCs/>
          <w:color w:val="14161B"/>
          <w:sz w:val="22"/>
          <w:szCs w:val="22"/>
        </w:rPr>
        <w:t xml:space="preserve">7. BENEFICIAL OWNERSHIP RECORD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
        <w:gridCol w:w="1252"/>
        <w:gridCol w:w="963"/>
        <w:gridCol w:w="963"/>
        <w:gridCol w:w="1156"/>
        <w:gridCol w:w="1542"/>
        <w:gridCol w:w="578"/>
        <w:gridCol w:w="1349"/>
        <w:gridCol w:w="771"/>
        <w:gridCol w:w="775"/>
      </w:tblGrid>
      <w:tr>
        <w:trPr>
          <w:cantSplit/>
          <w:tblHeader/>
        </w:trPr>
        <w:tc>
          <w:tcPr>
            <w:tcW w:type="dxa" w:w="28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Nationality</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of birth</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ID / passport</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Basis</w:t>
            </w:r>
          </w:p>
        </w:tc>
        <w:tc>
          <w:tcPr>
            <w:tcW w:type="dxa" w:w="5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Held via</w:t>
            </w:r>
          </w:p>
        </w:tc>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From</w:t>
            </w:r>
          </w:p>
        </w:tc>
        <w:tc>
          <w:tcPr>
            <w:tcW w:type="dxa" w:w="77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To</w:t>
            </w:r>
          </w:p>
        </w:tc>
      </w:tr>
      <w:tr>
        <w:trPr>
          <w:cantSplit/>
        </w:trP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[COUNTRY]</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[Ownership / Voting / Control]</w:t>
            </w:r>
          </w:p>
        </w:tc>
        <w:tc>
          <w:tcPr>
            <w:tcW w:type="dxa" w:w="57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[Direct / via ______]</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77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w:t>
            </w:r>
          </w:p>
        </w:tc>
      </w:tr>
      <w:tr>
        <w:trPr>
          <w:cantSplit/>
        </w:trP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[COUNTRY]</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[BASIS]</w:t>
            </w:r>
          </w:p>
        </w:tc>
        <w:tc>
          <w:tcPr>
            <w:tcW w:type="dxa" w:w="57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[DETAIL]</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77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w:t>
            </w:r>
          </w:p>
        </w:tc>
      </w:tr>
      <w:tr>
        <w:trPr>
          <w:cantSplit/>
        </w:trP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3</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[COUNTRY]</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[BASIS]</w:t>
            </w:r>
          </w:p>
        </w:tc>
        <w:tc>
          <w:tcPr>
            <w:tcW w:type="dxa" w:w="57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[DETAIL]</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77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beneficial owner is always a natural person</w:t>
      </w:r>
    </w:p>
    <w:p>
      <w:pPr>
        <w:spacing w:after="60" w:line="264"/>
        <w:jc w:val="both"/>
      </w:pPr>
      <w:r>
        <w:rPr>
          <w:rFonts w:ascii="Calibri" w:cs="Calibri" w:eastAsia="Calibri" w:hAnsi="Calibri"/>
          <w:sz w:val="19"/>
          <w:szCs w:val="19"/>
        </w:rPr>
        <w:t xml:space="preserve">A corporate shareholder is not a beneficial owner. Look through every layer of the ownership chain until you reach individuals. Groups with offshore holding structures sometimes file the immediate parent and consider the job done — it is not, and the register is then simply wrong.</w:t>
      </w:r>
    </w:p>
    <w:p>
      <w:pPr>
        <w:keepNext/>
        <w:spacing w:after="40" w:before="140"/>
      </w:pPr>
      <w:r>
        <w:rPr>
          <w:rFonts w:ascii="Calibri" w:cs="Calibri" w:eastAsia="Calibri" w:hAnsi="Calibri"/>
          <w:b/>
          <w:bCs/>
          <w:color w:val="14161B"/>
          <w:sz w:val="20"/>
          <w:szCs w:val="20"/>
        </w:rPr>
        <w:t xml:space="preserve">Apply the tests in order</w:t>
      </w:r>
    </w:p>
    <w:p>
      <w:pPr>
        <w:spacing w:after="60" w:line="264"/>
        <w:jc w:val="both"/>
      </w:pPr>
      <w:r>
        <w:rPr>
          <w:rFonts w:ascii="Calibri" w:cs="Calibri" w:eastAsia="Calibri" w:hAnsi="Calibri"/>
          <w:sz w:val="19"/>
          <w:szCs w:val="19"/>
        </w:rPr>
        <w:t xml:space="preserve">Ownership of 25% or more, then voting control of 25% or more, then control by other means, then senior management. The fourth test exists so the register is never empty. A widely held company with no substantial holder records its senior management rather than filing nothing.</w:t>
      </w:r>
    </w:p>
    <w:p>
      <w:pPr>
        <w:keepNext/>
        <w:spacing w:after="40" w:before="140"/>
      </w:pPr>
      <w:r>
        <w:rPr>
          <w:rFonts w:ascii="Calibri" w:cs="Calibri" w:eastAsia="Calibri" w:hAnsi="Calibri"/>
          <w:b/>
          <w:bCs/>
          <w:color w:val="14161B"/>
          <w:sz w:val="20"/>
          <w:szCs w:val="20"/>
        </w:rPr>
        <w:t xml:space="preserve">Control by other means catches arrangements ownership does not</w:t>
      </w:r>
    </w:p>
    <w:p>
      <w:pPr>
        <w:spacing w:after="60" w:line="264"/>
        <w:jc w:val="both"/>
      </w:pPr>
      <w:r>
        <w:rPr>
          <w:rFonts w:ascii="Calibri" w:cs="Calibri" w:eastAsia="Calibri" w:hAnsi="Calibri"/>
          <w:sz w:val="19"/>
          <w:szCs w:val="19"/>
        </w:rPr>
        <w:t xml:space="preserve">A person with the right to appoint or remove the majority of the board, or who exercises control through a shareholders’ agreement, side letter or funding arrangement, is a beneficial owner regardless of their shareholding. Investor veto rights and board appointment rights are worth testing against this.</w:t>
      </w:r>
    </w:p>
    <w:p>
      <w:pPr>
        <w:keepNext/>
        <w:spacing w:after="40" w:before="140"/>
      </w:pPr>
      <w:r>
        <w:rPr>
          <w:rFonts w:ascii="Calibri" w:cs="Calibri" w:eastAsia="Calibri" w:hAnsi="Calibri"/>
          <w:b/>
          <w:bCs/>
          <w:color w:val="14161B"/>
          <w:sz w:val="20"/>
          <w:szCs w:val="20"/>
        </w:rPr>
        <w:t xml:space="preserve">Updating is where compliance actually fails</w:t>
      </w:r>
    </w:p>
    <w:p>
      <w:pPr>
        <w:spacing w:after="60" w:line="264"/>
        <w:jc w:val="both"/>
      </w:pPr>
      <w:r>
        <w:rPr>
          <w:rFonts w:ascii="Calibri" w:cs="Calibri" w:eastAsia="Calibri" w:hAnsi="Calibri"/>
          <w:sz w:val="19"/>
          <w:szCs w:val="19"/>
        </w:rPr>
        <w:t xml:space="preserve">Registers are established properly at incorporation and then left. Meanwhile shares transfer, investors join, options are exercised and holding companies are inserted. The register drifts out of date silently and is checked at the worst possible moment — a bank review, a licence renewal or due diligence.</w:t>
      </w:r>
    </w:p>
    <w:p>
      <w:pPr>
        <w:keepNext/>
        <w:spacing w:after="40" w:before="140"/>
      </w:pPr>
      <w:r>
        <w:rPr>
          <w:rFonts w:ascii="Calibri" w:cs="Calibri" w:eastAsia="Calibri" w:hAnsi="Calibri"/>
          <w:b/>
          <w:bCs/>
          <w:color w:val="14161B"/>
          <w:sz w:val="20"/>
          <w:szCs w:val="20"/>
        </w:rPr>
        <w:t xml:space="preserve">Tie the review to events, not only to a calendar</w:t>
      </w:r>
    </w:p>
    <w:p>
      <w:pPr>
        <w:spacing w:after="60" w:line="264"/>
        <w:jc w:val="both"/>
      </w:pPr>
      <w:r>
        <w:rPr>
          <w:rFonts w:ascii="Calibri" w:cs="Calibri" w:eastAsia="Calibri" w:hAnsi="Calibri"/>
          <w:sz w:val="19"/>
          <w:szCs w:val="19"/>
        </w:rPr>
        <w:t xml:space="preserve">Any share transfer, new investor, restructuring, change of director or change in a shareholders’ agreement can change the beneficial ownership analysis. Build the check into those transactions rather than relying on an annual sweep.</w:t>
      </w:r>
    </w:p>
    <w:p>
      <w:pPr>
        <w:keepNext/>
        <w:spacing w:after="40" w:before="140"/>
      </w:pPr>
      <w:r>
        <w:rPr>
          <w:rFonts w:ascii="Calibri" w:cs="Calibri" w:eastAsia="Calibri" w:hAnsi="Calibri"/>
          <w:b/>
          <w:bCs/>
          <w:color w:val="14161B"/>
          <w:sz w:val="20"/>
          <w:szCs w:val="20"/>
        </w:rPr>
        <w:t xml:space="preserve">Nominee arrangements must be disclosed</w:t>
      </w:r>
    </w:p>
    <w:p>
      <w:pPr>
        <w:spacing w:after="60" w:line="264"/>
        <w:jc w:val="both"/>
      </w:pPr>
      <w:r>
        <w:rPr>
          <w:rFonts w:ascii="Calibri" w:cs="Calibri" w:eastAsia="Calibri" w:hAnsi="Calibri"/>
          <w:sz w:val="19"/>
          <w:szCs w:val="19"/>
        </w:rPr>
        <w:t xml:space="preserve">A director acting on another person’s instructions must disclose that, and the company must record the nominator. Informal arrangements where someone is on the licence as a favour are exactly what the register exists to surface.</w:t>
      </w:r>
    </w:p>
    <w:p>
      <w:pPr>
        <w:keepNext/>
        <w:spacing w:after="40" w:before="140"/>
      </w:pPr>
      <w:r>
        <w:rPr>
          <w:rFonts w:ascii="Calibri" w:cs="Calibri" w:eastAsia="Calibri" w:hAnsi="Calibri"/>
          <w:b/>
          <w:bCs/>
          <w:color w:val="14161B"/>
          <w:sz w:val="20"/>
          <w:szCs w:val="20"/>
        </w:rPr>
        <w:t xml:space="preserve">Many businesses do not know they are a DNFBP</w:t>
      </w:r>
    </w:p>
    <w:p>
      <w:pPr>
        <w:spacing w:after="60" w:line="264"/>
        <w:jc w:val="both"/>
      </w:pPr>
      <w:r>
        <w:rPr>
          <w:rFonts w:ascii="Calibri" w:cs="Calibri" w:eastAsia="Calibri" w:hAnsi="Calibri"/>
          <w:sz w:val="19"/>
          <w:szCs w:val="19"/>
        </w:rPr>
        <w:t xml:space="preserve">Real estate brokers, dealers in precious metals and stones, auditors, accountants and corporate service providers are all designated. So are legal professionals for defined activities. Registration on goAML, a compliance officer, a risk assessment and reporting duties all follow, and none of it is discretionary.</w:t>
      </w:r>
    </w:p>
    <w:p>
      <w:pPr>
        <w:keepNext/>
        <w:spacing w:after="40" w:before="140"/>
      </w:pPr>
      <w:r>
        <w:rPr>
          <w:rFonts w:ascii="Calibri" w:cs="Calibri" w:eastAsia="Calibri" w:hAnsi="Calibri"/>
          <w:b/>
          <w:bCs/>
          <w:color w:val="14161B"/>
          <w:sz w:val="20"/>
          <w:szCs w:val="20"/>
        </w:rPr>
        <w:t xml:space="preserve">Customer due diligence is ongoing, not onboarding</w:t>
      </w:r>
    </w:p>
    <w:p>
      <w:pPr>
        <w:spacing w:after="60" w:line="264"/>
        <w:jc w:val="both"/>
      </w:pPr>
      <w:r>
        <w:rPr>
          <w:rFonts w:ascii="Calibri" w:cs="Calibri" w:eastAsia="Calibri" w:hAnsi="Calibri"/>
          <w:sz w:val="19"/>
          <w:szCs w:val="19"/>
        </w:rPr>
        <w:t xml:space="preserve">Screening, monitoring and risk reassessment continue throughout the relationship. Sanctions lists change and customers change. A file completed perfectly at onboarding and never revisited does not meet the obligation.</w:t>
      </w:r>
    </w:p>
    <w:p>
      <w:pPr>
        <w:keepNext/>
        <w:spacing w:after="40" w:before="140"/>
      </w:pPr>
      <w:r>
        <w:rPr>
          <w:rFonts w:ascii="Calibri" w:cs="Calibri" w:eastAsia="Calibri" w:hAnsi="Calibri"/>
          <w:b/>
          <w:bCs/>
          <w:color w:val="14161B"/>
          <w:sz w:val="20"/>
          <w:szCs w:val="20"/>
        </w:rPr>
        <w:t xml:space="preserve">Look through customer structures too</w:t>
      </w:r>
    </w:p>
    <w:p>
      <w:pPr>
        <w:spacing w:after="60" w:line="264"/>
        <w:jc w:val="both"/>
      </w:pPr>
      <w:r>
        <w:rPr>
          <w:rFonts w:ascii="Calibri" w:cs="Calibri" w:eastAsia="Calibri" w:hAnsi="Calibri"/>
          <w:sz w:val="19"/>
          <w:szCs w:val="19"/>
        </w:rPr>
        <w:t xml:space="preserve">The same look-through applies to your customers as to your own ownership. Identifying the beneficial owner behind a corporate customer is the part of due diligence most often done superficially, and it is the part that matters.</w:t>
      </w:r>
    </w:p>
    <w:p>
      <w:pPr>
        <w:keepNext/>
        <w:spacing w:after="40" w:before="140"/>
      </w:pPr>
      <w:r>
        <w:rPr>
          <w:rFonts w:ascii="Calibri" w:cs="Calibri" w:eastAsia="Calibri" w:hAnsi="Calibri"/>
          <w:b/>
          <w:bCs/>
          <w:color w:val="14161B"/>
          <w:sz w:val="20"/>
          <w:szCs w:val="20"/>
        </w:rPr>
        <w:t xml:space="preserve">Tipping off is a criminal offence</w:t>
      </w:r>
    </w:p>
    <w:p>
      <w:pPr>
        <w:spacing w:after="60" w:line="264"/>
        <w:jc w:val="both"/>
      </w:pPr>
      <w:r>
        <w:rPr>
          <w:rFonts w:ascii="Calibri" w:cs="Calibri" w:eastAsia="Calibri" w:hAnsi="Calibri"/>
          <w:sz w:val="19"/>
          <w:szCs w:val="19"/>
        </w:rPr>
        <w:t xml:space="preserve">Where a suspicious transaction report is filed, the customer must not be told and the business must not behave in a way that reveals it — including declining a transaction in a manner that signals a report. Train anyone customer-facing on this specifically.</w:t>
      </w:r>
    </w:p>
    <w:p>
      <w:pPr>
        <w:keepNext/>
        <w:spacing w:after="40" w:before="140"/>
      </w:pPr>
      <w:r>
        <w:rPr>
          <w:rFonts w:ascii="Calibri" w:cs="Calibri" w:eastAsia="Calibri" w:hAnsi="Calibri"/>
          <w:b/>
          <w:bCs/>
          <w:color w:val="14161B"/>
          <w:sz w:val="20"/>
          <w:szCs w:val="20"/>
        </w:rPr>
        <w:t xml:space="preserve">Enhanced due diligence needs a trigger and a record</w:t>
      </w:r>
    </w:p>
    <w:p>
      <w:pPr>
        <w:spacing w:after="60" w:line="264"/>
        <w:jc w:val="both"/>
      </w:pPr>
      <w:r>
        <w:rPr>
          <w:rFonts w:ascii="Calibri" w:cs="Calibri" w:eastAsia="Calibri" w:hAnsi="Calibri"/>
          <w:sz w:val="19"/>
          <w:szCs w:val="19"/>
        </w:rPr>
        <w:t xml:space="preserve">Politically exposed persons, high-risk jurisdictions and unusually complex structures require enhanced measures. Record why enhanced due diligence was or was not applied; the decision matters as much as the outcome.</w:t>
      </w:r>
    </w:p>
    <w:p>
      <w:pPr>
        <w:keepNext/>
        <w:spacing w:after="40" w:before="140"/>
      </w:pPr>
      <w:r>
        <w:rPr>
          <w:rFonts w:ascii="Calibri" w:cs="Calibri" w:eastAsia="Calibri" w:hAnsi="Calibri"/>
          <w:b/>
          <w:bCs/>
          <w:color w:val="14161B"/>
          <w:sz w:val="20"/>
          <w:szCs w:val="20"/>
        </w:rPr>
        <w:t xml:space="preserve">Keep the evidence, not just the conclusion</w:t>
      </w:r>
    </w:p>
    <w:p>
      <w:pPr>
        <w:spacing w:after="60" w:line="264"/>
        <w:jc w:val="both"/>
      </w:pPr>
      <w:r>
        <w:rPr>
          <w:rFonts w:ascii="Calibri" w:cs="Calibri" w:eastAsia="Calibri" w:hAnsi="Calibri"/>
          <w:sz w:val="19"/>
          <w:szCs w:val="19"/>
        </w:rPr>
        <w:t xml:space="preserve">Identification documents, screening results with dates, risk assessments and the reasoning behind decisions all need retaining for the statutory period after the relationship ends. An inspector asks how you concluded, not what you concluded.</w:t>
      </w:r>
    </w:p>
    <w:p>
      <w:pPr>
        <w:keepNext/>
        <w:spacing w:after="40" w:before="140"/>
      </w:pPr>
      <w:r>
        <w:rPr>
          <w:rFonts w:ascii="Calibri" w:cs="Calibri" w:eastAsia="Calibri" w:hAnsi="Calibri"/>
          <w:b/>
          <w:bCs/>
          <w:color w:val="14161B"/>
          <w:sz w:val="20"/>
          <w:szCs w:val="20"/>
        </w:rPr>
        <w:t xml:space="preserve">UBO and AML are separate obligations that reinforce each other</w:t>
      </w:r>
    </w:p>
    <w:p>
      <w:pPr>
        <w:spacing w:after="60" w:line="264"/>
        <w:jc w:val="both"/>
      </w:pPr>
      <w:r>
        <w:rPr>
          <w:rFonts w:ascii="Calibri" w:cs="Calibri" w:eastAsia="Calibri" w:hAnsi="Calibri"/>
          <w:sz w:val="19"/>
          <w:szCs w:val="19"/>
        </w:rPr>
        <w:t xml:space="preserve">The register is a corporate filing duty; the AML framework is a conduct regime. Businesses that treat the register as an AML formality tend to file it once. Businesses that treat AML as a filing exercise tend to miss the monitoring.</w:t>
      </w:r>
    </w:p>
    <w:p>
      <w:pPr>
        <w:keepNext/>
        <w:spacing w:after="40" w:before="140"/>
      </w:pPr>
      <w:r>
        <w:rPr>
          <w:rFonts w:ascii="Calibri" w:cs="Calibri" w:eastAsia="Calibri" w:hAnsi="Calibri"/>
          <w:b/>
          <w:bCs/>
          <w:color w:val="14161B"/>
          <w:sz w:val="20"/>
          <w:szCs w:val="20"/>
        </w:rPr>
        <w:t xml:space="preserve">Banks will ask, and inconsistency is expensive</w:t>
      </w:r>
    </w:p>
    <w:p>
      <w:pPr>
        <w:spacing w:after="60" w:line="264"/>
        <w:jc w:val="both"/>
      </w:pPr>
      <w:r>
        <w:rPr>
          <w:rFonts w:ascii="Calibri" w:cs="Calibri" w:eastAsia="Calibri" w:hAnsi="Calibri"/>
          <w:sz w:val="19"/>
          <w:szCs w:val="19"/>
        </w:rPr>
        <w:t xml:space="preserve">Corporate banking reviews test beneficial ownership against your filings and your structure. An inconsistency between what the bank is told, what is filed with the registrar and what the shareholders’ agreement says causes account restrictions rather than a polite query.</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Beneficial ownership regulations, filing deadlines, DNFBP categories, goAML requirements and penalty levels all change — confirm the current position with the relevant registrar or free zone authority, and take advice where the ownership structure involves trusts, foundations or nominee arrangements.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2026-08-23T16:28:33.912Z</dcterms:created>
  <dcterms:modified xsi:type="dcterms:W3CDTF">2026-08-23T16:28:33.912Z</dcterms:modified>
</cp:coreProperties>
</file>

<file path=docProps/custom.xml><?xml version="1.0" encoding="utf-8"?>
<Properties xmlns="http://schemas.openxmlformats.org/officeDocument/2006/custom-properties" xmlns:vt="http://schemas.openxmlformats.org/officeDocument/2006/docPropsVTypes"/>
</file>