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TRANSFER PRICING</w:t>
      </w:r>
    </w:p>
    <w:p>
      <w:pPr>
        <w:spacing w:after="260"/>
        <w:jc w:val="center"/>
      </w:pPr>
      <w:r>
        <w:rPr>
          <w:rFonts w:ascii="Calibri" w:cs="Calibri" w:eastAsia="Calibri" w:hAnsi="Calibri"/>
          <w:i/>
          <w:iCs/>
          <w:color w:val="6E7480"/>
          <w:sz w:val="19"/>
          <w:szCs w:val="19"/>
        </w:rPr>
        <w:t xml:space="preserve">Related party transactions under UAE corporate tax</w:t>
      </w:r>
    </w:p>
    <w:p>
      <w:pPr>
        <w:spacing w:after="180" w:before="0" w:line="276"/>
        <w:jc w:val="both"/>
      </w:pPr>
      <w:r>
        <w:rPr>
          <w:rFonts w:ascii="Calibri" w:cs="Calibri" w:eastAsia="Calibri" w:hAnsi="Calibri"/>
          <w:i/>
          <w:iCs/>
          <w:color w:val="6E7480"/>
          <w:sz w:val="21"/>
          <w:szCs w:val="21"/>
        </w:rPr>
        <w:t xml:space="preserve">Transfer pricing arrived in the UAE with corporate tax and it catches businesses that have never thought about it. Two groups are most exposed: </w:t>
      </w:r>
      <w:r>
        <w:rPr>
          <w:rFonts w:ascii="Calibri" w:cs="Calibri" w:eastAsia="Calibri" w:hAnsi="Calibri"/>
          <w:b/>
          <w:bCs/>
          <w:i/>
          <w:iCs/>
          <w:color w:val="6E7480"/>
          <w:sz w:val="21"/>
          <w:szCs w:val="21"/>
        </w:rPr>
        <w:t xml:space="preserve">free zone companies claiming the 0% rate</w:t>
      </w:r>
      <w:r>
        <w:rPr>
          <w:rFonts w:ascii="Calibri" w:cs="Calibri" w:eastAsia="Calibri" w:hAnsi="Calibri"/>
          <w:i/>
          <w:iCs/>
          <w:color w:val="6E7480"/>
          <w:sz w:val="21"/>
          <w:szCs w:val="21"/>
        </w:rPr>
        <w:t xml:space="preserve">, for which arm’s length compliance is a QFZP condition, and </w:t>
      </w:r>
      <w:r>
        <w:rPr>
          <w:rFonts w:ascii="Calibri" w:cs="Calibri" w:eastAsia="Calibri" w:hAnsi="Calibri"/>
          <w:b/>
          <w:bCs/>
          <w:i/>
          <w:iCs/>
          <w:color w:val="6E7480"/>
          <w:sz w:val="21"/>
          <w:szCs w:val="21"/>
        </w:rPr>
        <w:t xml:space="preserve">owner-managed businesses</w:t>
      </w:r>
      <w:r>
        <w:rPr>
          <w:rFonts w:ascii="Calibri" w:cs="Calibri" w:eastAsia="Calibri" w:hAnsi="Calibri"/>
          <w:i/>
          <w:iCs/>
          <w:color w:val="6E7480"/>
          <w:sz w:val="21"/>
          <w:szCs w:val="21"/>
        </w:rPr>
        <w:t xml:space="preserve"> where the owner, their other companies and their family are all connected persons.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tax registration </w:t>
            </w:r>
            <w:r>
              <w:rPr>
                <w:rFonts w:ascii="Calibri" w:cs="Calibri" w:eastAsia="Calibri" w:hAnsi="Calibri"/>
                <w:b/>
                <w:bCs/>
                <w:sz w:val="19"/>
                <w:szCs w:val="19"/>
              </w:rPr>
              <w:t xml:space="preserve">[TRN]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Claiming QFZP status?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if yes, arm’s length compliance is a condition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Revenue for the period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Related party transactions identified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Connected person transactions identified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value of related party transactions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Documentation prepared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[Master file / Local file / Disclosure only]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IS A RELATED PARTY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Common ownership or control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Parent, subsidiary, sister companies; entities under common control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Individuals related by kinship</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Family relationships to the prescribed degree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 individual and their 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individual owns or controls 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Partners in an unincorporated partnership</w:t>
            </w:r>
          </w:p>
        </w:tc>
        <w:tc>
          <w:tcPr>
            <w:tcW w:type="dxa" w:w="6362"/>
            <w:tcMar>
              <w:top w:type="dxa" w:w="70"/>
              <w:left w:type="dxa" w:w="100"/>
              <w:bottom w:type="dxa" w:w="70"/>
              <w:right w:type="dxa" w:w="100"/>
            </w:tcMar>
            <w:vAlign w:val="center"/>
          </w:tcPr>
          <w:p>
            <w:pPr>
              <w:spacing w:after="0" w:line="240"/>
              <w:jc w:val="left"/>
            </w:pP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 person and their permanent establishment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Head office and branch</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Connected persons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owner, a director or officer, and their related parties</w:t>
            </w:r>
            <w:r>
              <w:rPr>
                <w:rFonts w:ascii="Calibri" w:cs="Calibri" w:eastAsia="Calibri" w:hAnsi="Calibri"/>
                <w:sz w:val="18"/>
                <w:szCs w:val="18"/>
              </w:rPr>
              <w:t xml:space="preserve"> — a separate and often overlooked category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w:t>
      </w:r>
      <w:r>
        <w:rPr>
          <w:rFonts w:ascii="Calibri" w:cs="Calibri" w:eastAsia="Calibri" w:hAnsi="Calibri"/>
          <w:i/>
          <w:iCs/>
          <w:sz w:val="21"/>
          <w:szCs w:val="21"/>
        </w:rPr>
        <w:t xml:space="preserve">connected person</w:t>
      </w:r>
      <w:r>
        <w:rPr>
          <w:rFonts w:ascii="Calibri" w:cs="Calibri" w:eastAsia="Calibri" w:hAnsi="Calibri"/>
          <w:i/>
          <w:iCs/>
          <w:sz w:val="21"/>
          <w:szCs w:val="21"/>
        </w:rPr>
        <w:t xml:space="preserve"> rules are where owner-managed businesses get caught. Payments to the owner, to a director, or to their relatives — salary, rent, management fees, interest — must be at market value and are subject to their own restrictions. Confirm the current definitions and thresholds; they are prescribed and have been refined.</w:t>
      </w:r>
    </w:p>
    <w:p>
      <w:pPr>
        <w:keepNext/>
        <w:spacing w:after="120" w:before="280"/>
        <w:outlineLvl w:val="0"/>
      </w:pPr>
      <w:r>
        <w:rPr>
          <w:rFonts w:ascii="Calibri" w:cs="Calibri" w:eastAsia="Calibri" w:hAnsi="Calibri"/>
          <w:b/>
          <w:bCs/>
          <w:color w:val="14161B"/>
          <w:sz w:val="22"/>
          <w:szCs w:val="22"/>
        </w:rPr>
        <w:t xml:space="preserve">2. WHAT MUST BE AT ARM’S LENGTH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Transaction</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 exposure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Management or head office charges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Charged on convenience rather than analysis — the most common finding</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Intra-group services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HR, finance, marketing recharged without a basis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Intellectual property licences and royalties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Rate set by the group, not by comparison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Intra-group loans and interest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Interest-free or off-market loans between group entities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Sale of goods between group entities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Particularly free zone to mainland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Rent paid to an owner or a connected 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market rent extracting profit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Owner or director remuneration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Must reflect the market value of services actually provided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Guarantees given between group entities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Frequently uncharged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Cost sharing arrangements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Allocation basis needs support</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Free zone entities claiming the 0% rate should treat this as a condition, not a filing formality.</w:t>
      </w:r>
      <w:r>
        <w:rPr>
          <w:rFonts w:ascii="Calibri" w:cs="Calibri" w:eastAsia="Calibri" w:hAnsi="Calibri"/>
          <w:sz w:val="21"/>
          <w:szCs w:val="21"/>
        </w:rPr>
        <w:t xml:space="preserve"> Transfer pricing compliance is one of the QFZP requirements, and failing it puts the preferential rate at risk on the same basis as breaching the de minimis.</w:t>
      </w:r>
    </w:p>
    <w:p>
      <w:pPr>
        <w:keepNext/>
        <w:spacing w:after="120" w:before="280"/>
        <w:outlineLvl w:val="0"/>
      </w:pPr>
      <w:r>
        <w:rPr>
          <w:rFonts w:ascii="Calibri" w:cs="Calibri" w:eastAsia="Calibri" w:hAnsi="Calibri"/>
          <w:b/>
          <w:bCs/>
          <w:color w:val="14161B"/>
          <w:sz w:val="22"/>
          <w:szCs w:val="22"/>
        </w:rPr>
        <w:t xml:space="preserve">3. WHAT TO DO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3855"/>
        <w:gridCol w:w="154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Identify every related party and connected person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Map the ownership chain and the family relationships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List every transaction with them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Including uncharged benefits and free services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Value each transaction for the period</w:t>
            </w:r>
          </w:p>
        </w:tc>
        <w:tc>
          <w:tcPr>
            <w:tcW w:type="dxa" w:w="3855"/>
            <w:tcMar>
              <w:top w:type="dxa" w:w="70"/>
              <w:left w:type="dxa" w:w="100"/>
              <w:bottom w:type="dxa" w:w="70"/>
              <w:right w:type="dxa" w:w="100"/>
            </w:tcMar>
            <w:vAlign w:val="center"/>
          </w:tcPr>
          <w:p>
            <w:pPr>
              <w:spacing w:after="0" w:line="240"/>
              <w:jc w:val="left"/>
            </w:pP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Determine whether documentation thresholds are met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Master file and local file thresholds are prescribed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Select a pricing method for each material transaction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Comparable uncontrolled price, cost plus, resale price, and others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Support the price with evidence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Benchmarking, comparable third party terms, or a documented cost basis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Ensure the intercompany agreement matches what actually happens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common weakness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Prepare the disclosure required with the tax return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even below documentation thresholds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Prepare master file and local file where thresholds are met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period required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annually and on any structural change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once and forgotten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Step 7 is where most files fall apart. An intercompany agreement describing services the parent does not actually provide, at a fee nobody analysed, is worse than no agreement — it documents the wrong thing.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RELATED PARTY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445"/>
        <w:gridCol w:w="1252"/>
        <w:gridCol w:w="1156"/>
        <w:gridCol w:w="1638"/>
        <w:gridCol w:w="1252"/>
        <w:gridCol w:w="1252"/>
        <w:gridCol w:w="1258"/>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Related party</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Relationship</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Jurisdiction</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Transaction</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Value (AED)</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Method</w:t>
            </w:r>
          </w:p>
        </w:tc>
        <w:tc>
          <w:tcPr>
            <w:tcW w:type="dxa" w:w="12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Support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[Parent]</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[COUNTRY]</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[Management fee]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[METHOD]</w:t>
            </w:r>
          </w:p>
        </w:tc>
        <w:tc>
          <w:tcPr>
            <w:tcW w:type="dxa" w:w="12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[Benchmarking]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[Sister]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[COUNTRY]</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 recharge]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[Cost plus]</w:t>
            </w:r>
          </w:p>
        </w:tc>
        <w:tc>
          <w:tcPr>
            <w:tcW w:type="dxa" w:w="12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[Cost basis]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[Owner]</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[UAE]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[CUP]</w:t>
            </w:r>
          </w:p>
        </w:tc>
        <w:tc>
          <w:tcPr>
            <w:tcW w:type="dxa" w:w="12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[Market rents]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[Connected]</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[UAE]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[Remuneration]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[Market rate]</w:t>
            </w:r>
          </w:p>
        </w:tc>
        <w:tc>
          <w:tcPr>
            <w:tcW w:type="dxa" w:w="12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[Comparison]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[Group]</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[COUNTRY]</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[Loan interest]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[METHOD]</w:t>
            </w:r>
          </w:p>
        </w:tc>
        <w:tc>
          <w:tcPr>
            <w:tcW w:type="dxa" w:w="125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[Rate evidence]</w:t>
            </w:r>
          </w:p>
        </w:tc>
      </w:tr>
    </w:tbl>
    <w:p>
      <w:pPr>
        <w:spacing w:after="160"/>
      </w:pPr>
    </w:p>
    <w:p>
      <w:pPr>
        <w:keepNext/>
        <w:spacing w:after="120" w:before="280"/>
        <w:outlineLvl w:val="0"/>
      </w:pPr>
      <w:r>
        <w:rPr>
          <w:rFonts w:ascii="Calibri" w:cs="Calibri" w:eastAsia="Calibri" w:hAnsi="Calibri"/>
          <w:b/>
          <w:bCs/>
          <w:color w:val="14161B"/>
          <w:sz w:val="22"/>
          <w:szCs w:val="22"/>
        </w:rPr>
        <w:t xml:space="preserve">5. WHERE BUSINESSES GO WRONG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Error</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Assuming transfer pricing only applies to multinationals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Domestic related party transactions are in scope too</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Overlooking connected persons — the owner and their family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most commonly missed category in owner-managed businesses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Charging a management fee with no basis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Adjustment, and a QFZP condition failed for a free zone entity</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Interest-free intra-group loans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require an arm’s length interest adjustment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Agreement describing services not actually provided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Documents the wrong thing; worse than no agreement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Ignoring uncharged benefits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services between group entities are still transactions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Preparing documentation once and never updating it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Benchmarking goes stale; the business changes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Treating it as a filing exercise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is a </w:t>
            </w:r>
            <w:r>
              <w:rPr>
                <w:rFonts w:ascii="Calibri" w:cs="Calibri" w:eastAsia="Calibri" w:hAnsi="Calibri"/>
                <w:b/>
                <w:bCs/>
                <w:sz w:val="18"/>
                <w:szCs w:val="18"/>
              </w:rPr>
              <w:t xml:space="preserve">QFZP condition</w:t>
            </w:r>
            <w:r>
              <w:rPr>
                <w:rFonts w:ascii="Calibri" w:cs="Calibri" w:eastAsia="Calibri" w:hAnsi="Calibri"/>
                <w:sz w:val="18"/>
                <w:szCs w:val="18"/>
              </w:rPr>
              <w:t xml:space="preserve"> where the 0% rate is claimed</w:t>
            </w:r>
          </w:p>
        </w:tc>
      </w:tr>
    </w:tbl>
    <w:p>
      <w:pPr>
        <w:spacing w:after="160"/>
      </w:pPr>
    </w:p>
    <w:p>
      <w:pPr>
        <w:keepNext/>
        <w:spacing w:after="120" w:before="280"/>
        <w:outlineLvl w:val="0"/>
      </w:pPr>
      <w:r>
        <w:rPr>
          <w:rFonts w:ascii="Calibri" w:cs="Calibri" w:eastAsia="Calibri" w:hAnsi="Calibri"/>
          <w:b/>
          <w:bCs/>
          <w:color w:val="14161B"/>
          <w:sz w:val="22"/>
          <w:szCs w:val="22"/>
        </w:rPr>
        <w:t xml:space="preserve">6.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Related party and connected person register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Intercompany agreements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Benchmarking studies and comparables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Seven years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Cost allocation workings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Seven years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Master file and local file where prepared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Seven years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Disclosure filed with the tax return</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Seven years</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that services were actually provided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 — frequently the weakest evidence held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approvals of related party transactions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not just for multinationals</w:t>
      </w:r>
    </w:p>
    <w:p>
      <w:pPr>
        <w:spacing w:after="60" w:line="264"/>
        <w:jc w:val="both"/>
      </w:pPr>
      <w:r>
        <w:rPr>
          <w:rFonts w:ascii="Calibri" w:cs="Calibri" w:eastAsia="Calibri" w:hAnsi="Calibri"/>
          <w:sz w:val="19"/>
          <w:szCs w:val="19"/>
        </w:rPr>
        <w:t xml:space="preserve">Transfer pricing under UAE corporate tax applies to domestic related party transactions as well as cross-border ones. An owner-managed business paying rent to the owner’s property company, or a management fee to a sister entity, is within scope even if nothing leaves the country.</w:t>
      </w:r>
    </w:p>
    <w:p>
      <w:pPr>
        <w:keepNext/>
        <w:spacing w:after="40" w:before="140"/>
      </w:pPr>
      <w:r>
        <w:rPr>
          <w:rFonts w:ascii="Calibri" w:cs="Calibri" w:eastAsia="Calibri" w:hAnsi="Calibri"/>
          <w:b/>
          <w:bCs/>
          <w:color w:val="14161B"/>
          <w:sz w:val="20"/>
          <w:szCs w:val="20"/>
        </w:rPr>
        <w:t xml:space="preserve">Connected persons are the missed category</w:t>
      </w:r>
    </w:p>
    <w:p>
      <w:pPr>
        <w:spacing w:after="60" w:line="264"/>
        <w:jc w:val="both"/>
      </w:pPr>
      <w:r>
        <w:rPr>
          <w:rFonts w:ascii="Calibri" w:cs="Calibri" w:eastAsia="Calibri" w:hAnsi="Calibri"/>
          <w:sz w:val="19"/>
          <w:szCs w:val="19"/>
        </w:rPr>
        <w:t xml:space="preserve">Payments to the owner, to a director or officer, and to their relatives are subject to their own arm’s length requirement and restrictions — salary, rent, interest, management fees. Owner-managed businesses map their group companies and forget the individuals entirely.</w:t>
      </w:r>
    </w:p>
    <w:p>
      <w:pPr>
        <w:keepNext/>
        <w:spacing w:after="40" w:before="140"/>
      </w:pPr>
      <w:r>
        <w:rPr>
          <w:rFonts w:ascii="Calibri" w:cs="Calibri" w:eastAsia="Calibri" w:hAnsi="Calibri"/>
          <w:b/>
          <w:bCs/>
          <w:color w:val="14161B"/>
          <w:sz w:val="20"/>
          <w:szCs w:val="20"/>
        </w:rPr>
        <w:t xml:space="preserve">For a free zone entity this is a condition, not a filing</w:t>
      </w:r>
    </w:p>
    <w:p>
      <w:pPr>
        <w:spacing w:after="60" w:line="264"/>
        <w:jc w:val="both"/>
      </w:pPr>
      <w:r>
        <w:rPr>
          <w:rFonts w:ascii="Calibri" w:cs="Calibri" w:eastAsia="Calibri" w:hAnsi="Calibri"/>
          <w:sz w:val="19"/>
          <w:szCs w:val="19"/>
        </w:rPr>
        <w:t xml:space="preserve">Transfer pricing compliance is one of the requirements for Qualifying Free Zone Person status. Failing it puts the 0% rate at risk on the same footing as breaching the de minimis. Treat it with the same seriousness.</w:t>
      </w:r>
    </w:p>
    <w:p>
      <w:pPr>
        <w:keepNext/>
        <w:spacing w:after="40" w:before="140"/>
      </w:pPr>
      <w:r>
        <w:rPr>
          <w:rFonts w:ascii="Calibri" w:cs="Calibri" w:eastAsia="Calibri" w:hAnsi="Calibri"/>
          <w:b/>
          <w:bCs/>
          <w:color w:val="14161B"/>
          <w:sz w:val="20"/>
          <w:szCs w:val="20"/>
        </w:rPr>
        <w:t xml:space="preserve">The agreement must match reality</w:t>
      </w:r>
    </w:p>
    <w:p>
      <w:pPr>
        <w:spacing w:after="60" w:line="264"/>
        <w:jc w:val="both"/>
      </w:pPr>
      <w:r>
        <w:rPr>
          <w:rFonts w:ascii="Calibri" w:cs="Calibri" w:eastAsia="Calibri" w:hAnsi="Calibri"/>
          <w:sz w:val="19"/>
          <w:szCs w:val="19"/>
        </w:rPr>
        <w:t xml:space="preserve">An intercompany agreement describing services the parent does not actually provide, at a fee nobody analysed, is worse than having none — it creates a document that contradicts the facts. Write the agreement to describe what genuinely happens, then price it.</w:t>
      </w:r>
    </w:p>
    <w:p>
      <w:pPr>
        <w:keepNext/>
        <w:spacing w:after="40" w:before="140"/>
      </w:pPr>
      <w:r>
        <w:rPr>
          <w:rFonts w:ascii="Calibri" w:cs="Calibri" w:eastAsia="Calibri" w:hAnsi="Calibri"/>
          <w:b/>
          <w:bCs/>
          <w:color w:val="14161B"/>
          <w:sz w:val="20"/>
          <w:szCs w:val="20"/>
        </w:rPr>
        <w:t xml:space="preserve">Keep evidence that services were provided</w:t>
      </w:r>
    </w:p>
    <w:p>
      <w:pPr>
        <w:spacing w:after="60" w:line="264"/>
        <w:jc w:val="both"/>
      </w:pPr>
      <w:r>
        <w:rPr>
          <w:rFonts w:ascii="Calibri" w:cs="Calibri" w:eastAsia="Calibri" w:hAnsi="Calibri"/>
          <w:sz w:val="19"/>
          <w:szCs w:val="19"/>
        </w:rPr>
        <w:t xml:space="preserve">This is usually the weakest part of a file. Where a management fee is charged, retain evidence of what was actually delivered — correspondence, reports, time records, meeting notes. An adjustment often turns on the absence of proof that anything was received.</w:t>
      </w:r>
    </w:p>
    <w:p>
      <w:pPr>
        <w:keepNext/>
        <w:spacing w:after="40" w:before="140"/>
      </w:pPr>
      <w:r>
        <w:rPr>
          <w:rFonts w:ascii="Calibri" w:cs="Calibri" w:eastAsia="Calibri" w:hAnsi="Calibri"/>
          <w:b/>
          <w:bCs/>
          <w:color w:val="14161B"/>
          <w:sz w:val="20"/>
          <w:szCs w:val="20"/>
        </w:rPr>
        <w:t xml:space="preserve">Management fees are the most common finding</w:t>
      </w:r>
    </w:p>
    <w:p>
      <w:pPr>
        <w:spacing w:after="60" w:line="264"/>
        <w:jc w:val="both"/>
      </w:pPr>
      <w:r>
        <w:rPr>
          <w:rFonts w:ascii="Calibri" w:cs="Calibri" w:eastAsia="Calibri" w:hAnsi="Calibri"/>
          <w:sz w:val="19"/>
          <w:szCs w:val="19"/>
        </w:rPr>
        <w:t xml:space="preserve">A round-sum charge from a parent, or a percentage of revenue set for convenience, with no analysis behind it, is the single most frequently adjusted item. Determine the cost base, the services, and the mark-up separately and document each.</w:t>
      </w:r>
    </w:p>
    <w:p>
      <w:pPr>
        <w:keepNext/>
        <w:spacing w:after="40" w:before="140"/>
      </w:pPr>
      <w:r>
        <w:rPr>
          <w:rFonts w:ascii="Calibri" w:cs="Calibri" w:eastAsia="Calibri" w:hAnsi="Calibri"/>
          <w:b/>
          <w:bCs/>
          <w:color w:val="14161B"/>
          <w:sz w:val="20"/>
          <w:szCs w:val="20"/>
        </w:rPr>
        <w:t xml:space="preserve">Interest-free intra-group loans are transactions</w:t>
      </w:r>
    </w:p>
    <w:p>
      <w:pPr>
        <w:spacing w:after="60" w:line="264"/>
        <w:jc w:val="both"/>
      </w:pPr>
      <w:r>
        <w:rPr>
          <w:rFonts w:ascii="Calibri" w:cs="Calibri" w:eastAsia="Calibri" w:hAnsi="Calibri"/>
          <w:sz w:val="19"/>
          <w:szCs w:val="19"/>
        </w:rPr>
        <w:t xml:space="preserve">Lending between group entities at no interest, or at a rate set for internal convenience, may require an arm’s length adjustment. Money moved between entities as a matter of treasury convenience still needs a documented basis.</w:t>
      </w:r>
    </w:p>
    <w:p>
      <w:pPr>
        <w:keepNext/>
        <w:spacing w:after="40" w:before="140"/>
      </w:pPr>
      <w:r>
        <w:rPr>
          <w:rFonts w:ascii="Calibri" w:cs="Calibri" w:eastAsia="Calibri" w:hAnsi="Calibri"/>
          <w:b/>
          <w:bCs/>
          <w:color w:val="14161B"/>
          <w:sz w:val="20"/>
          <w:szCs w:val="20"/>
        </w:rPr>
        <w:t xml:space="preserve">Uncharged benefits count</w:t>
      </w:r>
    </w:p>
    <w:p>
      <w:pPr>
        <w:spacing w:after="60" w:line="264"/>
        <w:jc w:val="both"/>
      </w:pPr>
      <w:r>
        <w:rPr>
          <w:rFonts w:ascii="Calibri" w:cs="Calibri" w:eastAsia="Calibri" w:hAnsi="Calibri"/>
          <w:sz w:val="19"/>
          <w:szCs w:val="19"/>
        </w:rPr>
        <w:t xml:space="preserve">Free use of premises, staff seconded without recharge, guarantees given for nothing, shared systems paid by one entity. These are transactions even where no invoice was raised, and the absence of a charge is itself the issue.</w:t>
      </w:r>
    </w:p>
    <w:p>
      <w:pPr>
        <w:keepNext/>
        <w:spacing w:after="40" w:before="140"/>
      </w:pPr>
      <w:r>
        <w:rPr>
          <w:rFonts w:ascii="Calibri" w:cs="Calibri" w:eastAsia="Calibri" w:hAnsi="Calibri"/>
          <w:b/>
          <w:bCs/>
          <w:color w:val="14161B"/>
          <w:sz w:val="20"/>
          <w:szCs w:val="20"/>
        </w:rPr>
        <w:t xml:space="preserve">Know which documentation threshold applies</w:t>
      </w:r>
    </w:p>
    <w:p>
      <w:pPr>
        <w:spacing w:after="60" w:line="264"/>
        <w:jc w:val="both"/>
      </w:pPr>
      <w:r>
        <w:rPr>
          <w:rFonts w:ascii="Calibri" w:cs="Calibri" w:eastAsia="Calibri" w:hAnsi="Calibri"/>
          <w:sz w:val="19"/>
          <w:szCs w:val="19"/>
        </w:rPr>
        <w:t xml:space="preserve">Disclosure with the tax return is required broadly; master file and local file obligations attach at prescribed thresholds. Confirm the current thresholds rather than assuming a small business is outside everything — the disclosure obligation is wider than the documentation one.</w:t>
      </w:r>
    </w:p>
    <w:p>
      <w:pPr>
        <w:keepNext/>
        <w:spacing w:after="40" w:before="140"/>
      </w:pPr>
      <w:r>
        <w:rPr>
          <w:rFonts w:ascii="Calibri" w:cs="Calibri" w:eastAsia="Calibri" w:hAnsi="Calibri"/>
          <w:b/>
          <w:bCs/>
          <w:color w:val="14161B"/>
          <w:sz w:val="20"/>
          <w:szCs w:val="20"/>
        </w:rPr>
        <w:t xml:space="preserve">Refresh benchmarking</w:t>
      </w:r>
    </w:p>
    <w:p>
      <w:pPr>
        <w:spacing w:after="60" w:line="264"/>
        <w:jc w:val="both"/>
      </w:pPr>
      <w:r>
        <w:rPr>
          <w:rFonts w:ascii="Calibri" w:cs="Calibri" w:eastAsia="Calibri" w:hAnsi="Calibri"/>
          <w:sz w:val="19"/>
          <w:szCs w:val="19"/>
        </w:rPr>
        <w:t xml:space="preserve">A comparables study prepared once and reused for years goes stale as markets and the business change. Review annually, and always after a structural change such as a new entity, a new service or a change in the group.</w:t>
      </w:r>
    </w:p>
    <w:p>
      <w:pPr>
        <w:keepNext/>
        <w:spacing w:after="40" w:before="140"/>
      </w:pPr>
      <w:r>
        <w:rPr>
          <w:rFonts w:ascii="Calibri" w:cs="Calibri" w:eastAsia="Calibri" w:hAnsi="Calibri"/>
          <w:b/>
          <w:bCs/>
          <w:color w:val="14161B"/>
          <w:sz w:val="20"/>
          <w:szCs w:val="20"/>
        </w:rPr>
        <w:t xml:space="preserve">Board approval for related party transactions</w:t>
      </w:r>
    </w:p>
    <w:p>
      <w:pPr>
        <w:spacing w:after="60" w:line="264"/>
        <w:jc w:val="both"/>
      </w:pPr>
      <w:r>
        <w:rPr>
          <w:rFonts w:ascii="Calibri" w:cs="Calibri" w:eastAsia="Calibri" w:hAnsi="Calibri"/>
          <w:sz w:val="19"/>
          <w:szCs w:val="19"/>
        </w:rPr>
        <w:t xml:space="preserve">Recording that the board considered and approved a related party transaction, with the interested party abstaining, strengthens both the tax position and the corporate governance one. It costs one minute entry.</w:t>
      </w:r>
    </w:p>
    <w:p>
      <w:pPr>
        <w:keepNext/>
        <w:spacing w:after="40" w:before="140"/>
      </w:pPr>
      <w:r>
        <w:rPr>
          <w:rFonts w:ascii="Calibri" w:cs="Calibri" w:eastAsia="Calibri" w:hAnsi="Calibri"/>
          <w:b/>
          <w:bCs/>
          <w:color w:val="14161B"/>
          <w:sz w:val="20"/>
          <w:szCs w:val="20"/>
        </w:rPr>
        <w:t xml:space="preserve">Consistency across the group matters</w:t>
      </w:r>
    </w:p>
    <w:p>
      <w:pPr>
        <w:spacing w:after="60" w:line="264"/>
        <w:jc w:val="both"/>
      </w:pPr>
      <w:r>
        <w:rPr>
          <w:rFonts w:ascii="Calibri" w:cs="Calibri" w:eastAsia="Calibri" w:hAnsi="Calibri"/>
          <w:sz w:val="19"/>
          <w:szCs w:val="19"/>
        </w:rPr>
        <w:t xml:space="preserve">Where the same transaction is documented differently by the UAE entity and its counterparty in another country, both positions weaken. Align the analysis across the group rather than preparing the UAE file in isolation.</w:t>
      </w:r>
    </w:p>
    <w:p>
      <w:pPr>
        <w:keepNext/>
        <w:spacing w:after="40" w:before="140"/>
      </w:pPr>
      <w:r>
        <w:rPr>
          <w:rFonts w:ascii="Calibri" w:cs="Calibri" w:eastAsia="Calibri" w:hAnsi="Calibri"/>
          <w:b/>
          <w:bCs/>
          <w:color w:val="14161B"/>
          <w:sz w:val="20"/>
          <w:szCs w:val="20"/>
        </w:rPr>
        <w:t xml:space="preserve">Seven years of records</w:t>
      </w:r>
    </w:p>
    <w:p>
      <w:pPr>
        <w:spacing w:after="60" w:line="264"/>
        <w:jc w:val="both"/>
      </w:pPr>
      <w:r>
        <w:rPr>
          <w:rFonts w:ascii="Calibri" w:cs="Calibri" w:eastAsia="Calibri" w:hAnsi="Calibri"/>
          <w:sz w:val="19"/>
          <w:szCs w:val="19"/>
        </w:rPr>
        <w:t xml:space="preserve">Agreements, benchmarking, cost workings, disclosures and evidence of delivery all need retaining for seven years from the end of the relevant tax period. This is a longer horizon than most businesses apply to intercompany paperwork.</w:t>
      </w:r>
    </w:p>
    <w:p>
      <w:pPr>
        <w:keepNext/>
        <w:spacing w:after="40" w:before="140"/>
      </w:pPr>
      <w:r>
        <w:rPr>
          <w:rFonts w:ascii="Calibri" w:cs="Calibri" w:eastAsia="Calibri" w:hAnsi="Calibri"/>
          <w:b/>
          <w:bCs/>
          <w:color w:val="14161B"/>
          <w:sz w:val="20"/>
          <w:szCs w:val="20"/>
        </w:rPr>
        <w:t xml:space="preserve">Review on structural change, not just annually</w:t>
      </w:r>
    </w:p>
    <w:p>
      <w:pPr>
        <w:spacing w:after="60" w:line="264"/>
        <w:jc w:val="both"/>
      </w:pPr>
      <w:r>
        <w:rPr>
          <w:rFonts w:ascii="Calibri" w:cs="Calibri" w:eastAsia="Calibri" w:hAnsi="Calibri"/>
          <w:sz w:val="19"/>
          <w:szCs w:val="19"/>
        </w:rPr>
        <w:t xml:space="preserve">A new group entity, a new intercompany service, a change in ownership or a redomiciliation all change the analysis. Tie the review to those events rather than only to the annual cycle.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Related party and connected person definitions, documentation thresholds, disclosure requirements, permitted pricing methods and QFZP conditions are set by Cabinet and Ministerial Decision and change — confirm the current position with the Federal Tax Authority or a UAE tax adviser, and take advice before relying on any pricing position.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2026-08-23T16:28:35.414Z</dcterms:created>
  <dcterms:modified xsi:type="dcterms:W3CDTF">2026-08-23T16:28:35.414Z</dcterms:modified>
</cp:coreProperties>
</file>

<file path=docProps/custom.xml><?xml version="1.0" encoding="utf-8"?>
<Properties xmlns="http://schemas.openxmlformats.org/officeDocument/2006/custom-properties" xmlns:vt="http://schemas.openxmlformats.org/officeDocument/2006/docPropsVTypes"/>
</file>