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TAX RESIDENCY</w:t>
      </w:r>
    </w:p>
    <w:p>
      <w:pPr>
        <w:spacing w:after="260"/>
        <w:jc w:val="center"/>
      </w:pPr>
      <w:r>
        <w:rPr>
          <w:rFonts w:ascii="Calibri" w:cs="Calibri" w:eastAsia="Calibri" w:hAnsi="Calibri"/>
          <w:i/>
          <w:iCs/>
          <w:color w:val="6E7480"/>
          <w:sz w:val="19"/>
          <w:szCs w:val="19"/>
        </w:rPr>
        <w:t xml:space="preserve">Certificates, treaty benefits and substance</w:t>
      </w:r>
    </w:p>
    <w:p>
      <w:pPr>
        <w:spacing w:after="180" w:before="0" w:line="276"/>
        <w:jc w:val="both"/>
      </w:pPr>
      <w:r>
        <w:rPr>
          <w:rFonts w:ascii="Calibri" w:cs="Calibri" w:eastAsia="Calibri" w:hAnsi="Calibri"/>
          <w:i/>
          <w:iCs/>
          <w:color w:val="6E7480"/>
          <w:sz w:val="21"/>
          <w:szCs w:val="21"/>
        </w:rPr>
        <w:t xml:space="preserve">A tax residency certificate is not a formality — it is issued against </w:t>
      </w:r>
      <w:r>
        <w:rPr>
          <w:rFonts w:ascii="Calibri" w:cs="Calibri" w:eastAsia="Calibri" w:hAnsi="Calibri"/>
          <w:b/>
          <w:bCs/>
          <w:i/>
          <w:iCs/>
          <w:color w:val="6E7480"/>
          <w:sz w:val="21"/>
          <w:szCs w:val="21"/>
        </w:rPr>
        <w:t xml:space="preserve">criteria the applicant must actually meet</w:t>
      </w:r>
      <w:r>
        <w:rPr>
          <w:rFonts w:ascii="Calibri" w:cs="Calibri" w:eastAsia="Calibri" w:hAnsi="Calibri"/>
          <w:i/>
          <w:iCs/>
          <w:color w:val="6E7480"/>
          <w:sz w:val="21"/>
          <w:szCs w:val="21"/>
        </w:rPr>
        <w:t xml:space="preserve">, and it is what unlocks treaty benefits on cross-border payments. The recurring error is assuming that holding a UAE licence, or living here part of the year, is enough.</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Applicant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 INDIVIDUAL NAME]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[Juridical person / natural person]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w:t>
            </w:r>
            <w:r>
              <w:rPr>
                <w:rFonts w:ascii="Calibri" w:cs="Calibri" w:eastAsia="Calibri" w:hAnsi="Calibri"/>
                <w:sz w:val="19"/>
                <w:szCs w:val="19"/>
              </w:rPr>
              <w:t xml:space="preserve"> Registration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[LICENCE / NUMBER]</w:t>
            </w:r>
            <w:r>
              <w:rPr>
                <w:rFonts w:ascii="Calibri" w:cs="Calibri" w:eastAsia="Calibri" w:hAnsi="Calibri"/>
                <w:sz w:val="19"/>
                <w:szCs w:val="19"/>
              </w:rPr>
              <w:t xml:space="preserve">, </w:t>
            </w:r>
            <w:r>
              <w:rPr>
                <w:rFonts w:ascii="Calibri" w:cs="Calibri" w:eastAsia="Calibri" w:hAnsi="Calibri"/>
                <w:b/>
                <w:bCs/>
                <w:sz w:val="19"/>
                <w:szCs w:val="19"/>
              </w:rPr>
              <w:t xml:space="preserve">[jurisdiction]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[Individual]</w:t>
            </w:r>
            <w:r>
              <w:rPr>
                <w:rFonts w:ascii="Calibri" w:cs="Calibri" w:eastAsia="Calibri" w:hAnsi="Calibri"/>
                <w:sz w:val="19"/>
                <w:szCs w:val="19"/>
              </w:rPr>
              <w:t xml:space="preserve"> Emirates ID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Financial year / 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b/>
                <w:bCs/>
                <w:sz w:val="19"/>
                <w:szCs w:val="19"/>
              </w:rPr>
              <w:t xml:space="preserve"> to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Treaty country the certificate is for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[COUNTRY]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[Reduce withholding on ______ / claim treaty relief]</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Issuing authority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Tax Authority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  Issued: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Valid for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bl>
    <w:p>
      <w:pPr>
        <w:spacing w:after="180"/>
      </w:pPr>
    </w:p>
    <w:p>
      <w:pPr>
        <w:keepNext/>
        <w:spacing w:after="120" w:before="280"/>
        <w:outlineLvl w:val="0"/>
      </w:pPr>
      <w:r>
        <w:rPr>
          <w:rFonts w:ascii="Calibri" w:cs="Calibri" w:eastAsia="Calibri" w:hAnsi="Calibri"/>
          <w:b/>
          <w:bCs/>
          <w:color w:val="14161B"/>
          <w:sz w:val="22"/>
          <w:szCs w:val="22"/>
        </w:rPr>
        <w:t xml:space="preserve">1. TWO DIFFERENT QUESTIONS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Determined by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 I UAE tax resident?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domestic criteria for juridical and natural persons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Can I get a certificate for a treaty?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criteria </w:t>
            </w:r>
            <w:r>
              <w:rPr>
                <w:rFonts w:ascii="Calibri" w:cs="Calibri" w:eastAsia="Calibri" w:hAnsi="Calibri"/>
                <w:b/>
                <w:bCs/>
                <w:sz w:val="18"/>
                <w:szCs w:val="18"/>
              </w:rPr>
              <w:t xml:space="preserve">plus</w:t>
            </w:r>
            <w:r>
              <w:rPr>
                <w:rFonts w:ascii="Calibri" w:cs="Calibri" w:eastAsia="Calibri" w:hAnsi="Calibri"/>
                <w:sz w:val="18"/>
                <w:szCs w:val="18"/>
              </w:rPr>
              <w:t xml:space="preserve"> the requirements of the particular treaty and the other country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Will the other country accept it?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Their rules, not ours</w:t>
            </w:r>
            <w:r>
              <w:rPr>
                <w:rFonts w:ascii="Calibri" w:cs="Calibri" w:eastAsia="Calibri" w:hAnsi="Calibri"/>
                <w:sz w:val="18"/>
                <w:szCs w:val="18"/>
              </w:rPr>
              <w:t xml:space="preserve"> — a UAE certificate is not automatically decisive abroad</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third row is where applicants are surprised. A certificate issued by the FTA states the UAE position. The counterparty’s tax authority applies its own tests, including anti-abuse provisions, and may still deny the benefit.</w:t>
      </w:r>
    </w:p>
    <w:p>
      <w:pPr>
        <w:keepNext/>
        <w:spacing w:after="120" w:before="280"/>
        <w:outlineLvl w:val="0"/>
      </w:pPr>
      <w:r>
        <w:rPr>
          <w:rFonts w:ascii="Calibri" w:cs="Calibri" w:eastAsia="Calibri" w:hAnsi="Calibri"/>
          <w:b/>
          <w:bCs/>
          <w:color w:val="14161B"/>
          <w:sz w:val="22"/>
          <w:szCs w:val="22"/>
        </w:rPr>
        <w:t xml:space="preserve">2. RESIDENCY — BROAD POSITION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Person</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Broad basis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Juridical person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Incorporated or otherwise established in the UAE, or effectively managed and controlled here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Natural person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Criteria based on presence in the UAE, and on having a place of residence or employment or business here, with day-count thresholds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Free zone entity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Generally resident — but a QFZP claim is a separate question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Branch of a foreign company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Generally treated as a permanent establishment, not resident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[Partnership or other vehicle]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the treatment]</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Confirm the current criteria and day-count thresholds with the FTA.</w:t>
      </w:r>
      <w:r>
        <w:rPr>
          <w:rFonts w:ascii="Calibri" w:cs="Calibri" w:eastAsia="Calibri" w:hAnsi="Calibri"/>
          <w:sz w:val="21"/>
          <w:szCs w:val="21"/>
        </w:rPr>
        <w:t xml:space="preserve"> They are set by Cabinet Decision and have been refined; any figure stated in a template goes stale.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The branch point matters for structuring. A group wanting UAE tax residence generally needs a subsidiary, not a branch — and that decision is made at establishment, not later.</w:t>
      </w:r>
    </w:p>
    <w:p>
      <w:pPr>
        <w:keepNext/>
        <w:spacing w:after="120" w:before="280"/>
        <w:outlineLvl w:val="0"/>
      </w:pPr>
      <w:r>
        <w:rPr>
          <w:rFonts w:ascii="Calibri" w:cs="Calibri" w:eastAsia="Calibri" w:hAnsi="Calibri"/>
          <w:b/>
          <w:bCs/>
          <w:color w:val="14161B"/>
          <w:sz w:val="22"/>
          <w:szCs w:val="22"/>
        </w:rPr>
        <w:t xml:space="preserve">3. SUBSTANCE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Residency and treaty access both rest on the entity being </w:t>
      </w:r>
      <w:r>
        <w:rPr>
          <w:rFonts w:ascii="Calibri" w:cs="Calibri" w:eastAsia="Calibri" w:hAnsi="Calibri"/>
          <w:b/>
          <w:bCs/>
          <w:sz w:val="21"/>
          <w:szCs w:val="21"/>
        </w:rPr>
        <w:t xml:space="preserve">genuinely present and managed here</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Evidence</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Held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Premises — lease and registration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Employees actually in the UAE, on valid permits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Board or manager meetings held in the UAE, with people physically present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Minutes recording who attended and where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Decisions genuinely taken here, not ratified here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accounts operated from the UAE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Expenditure incurred in the UAE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Accounting records maintained here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Core activity performed here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tax registration and filings current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Board meetings held by video from overseas are the classic weakness.</w:t>
      </w:r>
      <w:r>
        <w:rPr>
          <w:rFonts w:ascii="Calibri" w:cs="Calibri" w:eastAsia="Calibri" w:hAnsi="Calibri"/>
          <w:sz w:val="21"/>
          <w:szCs w:val="21"/>
        </w:rPr>
        <w:t xml:space="preserve"> Where directors are abroad and decisions are made elsewhere, effective management may sit outside the UAE regardless of where the company is registered.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i/>
          <w:iCs/>
          <w:sz w:val="21"/>
          <w:szCs w:val="21"/>
        </w:rPr>
        <w:t xml:space="preserve">This is the same evidence that supports an economic substance position and a QFZP claim. Assemble it once and use it for all three.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APPLYING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3469"/>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criteria are met for the period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applying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Identify the treaty country and check the treaty exists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every country has one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what the other country requires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Some require a specific form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Assemble supporting documents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See Section 5</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Apply through the FTA portal for the period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 the fee</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Respond to queries promptly</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Certificate issued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Provide it to the payer before payment</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Withholding is applied at payment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Diarise renewal for the next period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Certificates are period-specific</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Apply in time.</w:t>
      </w:r>
      <w:r>
        <w:rPr>
          <w:rFonts w:ascii="Calibri" w:cs="Calibri" w:eastAsia="Calibri" w:hAnsi="Calibri"/>
          <w:sz w:val="21"/>
          <w:szCs w:val="21"/>
        </w:rPr>
        <w:t xml:space="preserve"> A certificate obtained after a payment has been made with withholding deducted means reclaiming from a foreign tax authority — slow, sometimes impossible, and always more expensive than applying early.</w:t>
      </w:r>
    </w:p>
    <w:p>
      <w:pPr>
        <w:keepNext/>
        <w:spacing w:after="120" w:before="280"/>
        <w:outlineLvl w:val="0"/>
      </w:pPr>
      <w:r>
        <w:rPr>
          <w:rFonts w:ascii="Calibri" w:cs="Calibri" w:eastAsia="Calibri" w:hAnsi="Calibri"/>
          <w:b/>
          <w:bCs/>
          <w:color w:val="14161B"/>
          <w:sz w:val="22"/>
          <w:szCs w:val="22"/>
        </w:rPr>
        <w:t xml:space="preserve">5. SUPPORTING DOCUMENTS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7518"/>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Applicant</w:t>
            </w:r>
          </w:p>
        </w:tc>
        <w:tc>
          <w:tcPr>
            <w:tcW w:type="dxa" w:w="751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Typically required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Company</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Trade licence, constitutional documents, audited financial statements, tenancy contract and registration, bank statements, ownership structure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Individual</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Passport and entry stamps, Emirates ID, residence visa, tenancy contract, salary certificate or proof of income, bank statements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Both</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FTA may request further evidence of substance or presence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Requirements change and vary by applicant type. Confirm the current list on the FTA portal rather than assembling from an older checklist — an incomplete application is simply returned.</w:t>
      </w:r>
    </w:p>
    <w:p>
      <w:pPr>
        <w:keepNext/>
        <w:spacing w:after="120" w:before="280"/>
        <w:outlineLvl w:val="0"/>
      </w:pPr>
      <w:r>
        <w:rPr>
          <w:rFonts w:ascii="Calibri" w:cs="Calibri" w:eastAsia="Calibri" w:hAnsi="Calibri"/>
          <w:b/>
          <w:bCs/>
          <w:color w:val="14161B"/>
          <w:sz w:val="22"/>
          <w:szCs w:val="22"/>
        </w:rPr>
        <w:t xml:space="preserve">6. TREATY BENEFITS IN PRACTICE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Payment type</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a treaty may reduce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Dividends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Withholding in the source country</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Interest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Withholding</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Royalties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Withholding</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 fees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 heavily on the treaty]</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Business profits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be taxable only where there is a permanent establishment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income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Allocation between countries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Capital gains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Allocation of taxing rights</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Treaty benefits are not automatic.</w:t>
      </w:r>
      <w:r>
        <w:rPr>
          <w:rFonts w:ascii="Calibri" w:cs="Calibri" w:eastAsia="Calibri" w:hAnsi="Calibri"/>
          <w:sz w:val="21"/>
          <w:szCs w:val="21"/>
        </w:rPr>
        <w:t xml:space="preserve"> The payer must generally hold the certificate before applying a reduced rate, and many treaties contain anti-abuse or principal purpose provisions that deny benefits to arrangements lacking commercial substance.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i/>
          <w:iCs/>
          <w:sz w:val="21"/>
          <w:szCs w:val="21"/>
        </w:rPr>
        <w:t xml:space="preserve">An entity with no premises, no staff and no decisions taken here is a poor candidate for treaty relief regardless of what its licence says. Substance is the point, not the certificate.</w:t>
      </w:r>
    </w:p>
    <w:p>
      <w:pPr>
        <w:keepNext/>
        <w:spacing w:after="120" w:before="280"/>
        <w:outlineLvl w:val="0"/>
      </w:pPr>
      <w:r>
        <w:rPr>
          <w:rFonts w:ascii="Calibri" w:cs="Calibri" w:eastAsia="Calibri" w:hAnsi="Calibri"/>
          <w:b/>
          <w:bCs/>
          <w:color w:val="14161B"/>
          <w:sz w:val="22"/>
          <w:szCs w:val="22"/>
        </w:rPr>
        <w:t xml:space="preserve">7. WHERE IT GOES WRONG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Error</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Assuming a licence equals residency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Application refused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Applying after the payment was made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Reclaim from a foreign authority — slow or impossible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Board meetings held abroad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Effective management may sit elsewhere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branch expecting residency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Generally a permanent establishment, not resident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checking what the other country requires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Certificate issued but not accepted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substance behind the structure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Treaty benefit denied under anti-abuse provisions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Treating the certificate as permanent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 is period-specific and needs renewing</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Individual not meeting the day-count criteria</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Refused; presence must be evidenced</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licence is not tax residency</w:t>
      </w:r>
    </w:p>
    <w:p>
      <w:pPr>
        <w:spacing w:after="60" w:line="264"/>
        <w:jc w:val="both"/>
      </w:pPr>
      <w:r>
        <w:rPr>
          <w:rFonts w:ascii="Calibri" w:cs="Calibri" w:eastAsia="Calibri" w:hAnsi="Calibri"/>
          <w:sz w:val="19"/>
          <w:szCs w:val="19"/>
        </w:rPr>
        <w:t xml:space="preserve">Holding a UAE trade licence, or spending part of the year here, does not establish residency. The criteria are set by Cabinet Decision and must actually be met, with evidence. Applications assuming otherwise are refused.</w:t>
      </w:r>
    </w:p>
    <w:p>
      <w:pPr>
        <w:keepNext/>
        <w:spacing w:after="40" w:before="140"/>
      </w:pPr>
      <w:r>
        <w:rPr>
          <w:rFonts w:ascii="Calibri" w:cs="Calibri" w:eastAsia="Calibri" w:hAnsi="Calibri"/>
          <w:b/>
          <w:bCs/>
          <w:color w:val="14161B"/>
          <w:sz w:val="20"/>
          <w:szCs w:val="20"/>
        </w:rPr>
        <w:t xml:space="preserve">Apply before the payment, not after</w:t>
      </w:r>
    </w:p>
    <w:p>
      <w:pPr>
        <w:spacing w:after="60" w:line="264"/>
        <w:jc w:val="both"/>
      </w:pPr>
      <w:r>
        <w:rPr>
          <w:rFonts w:ascii="Calibri" w:cs="Calibri" w:eastAsia="Calibri" w:hAnsi="Calibri"/>
          <w:sz w:val="19"/>
          <w:szCs w:val="19"/>
        </w:rPr>
        <w:t xml:space="preserve">Withholding is applied when the payment is made. A certificate obtained afterwards means reclaiming from a foreign tax authority — slow, sometimes impossible, and always more expensive than applying in time.</w:t>
      </w:r>
    </w:p>
    <w:p>
      <w:pPr>
        <w:keepNext/>
        <w:spacing w:after="40" w:before="140"/>
      </w:pPr>
      <w:r>
        <w:rPr>
          <w:rFonts w:ascii="Calibri" w:cs="Calibri" w:eastAsia="Calibri" w:hAnsi="Calibri"/>
          <w:b/>
          <w:bCs/>
          <w:color w:val="14161B"/>
          <w:sz w:val="20"/>
          <w:szCs w:val="20"/>
        </w:rPr>
        <w:t xml:space="preserve">Check what the other country requires</w:t>
      </w:r>
    </w:p>
    <w:p>
      <w:pPr>
        <w:spacing w:after="60" w:line="264"/>
        <w:jc w:val="both"/>
      </w:pPr>
      <w:r>
        <w:rPr>
          <w:rFonts w:ascii="Calibri" w:cs="Calibri" w:eastAsia="Calibri" w:hAnsi="Calibri"/>
          <w:sz w:val="19"/>
          <w:szCs w:val="19"/>
        </w:rPr>
        <w:t xml:space="preserve">Some treaty partners require their own form, or additional certification, or apply their own residence tests. A UAE certificate states the UAE position; it does not bind the counterparty’s authority.</w:t>
      </w:r>
    </w:p>
    <w:p>
      <w:pPr>
        <w:keepNext/>
        <w:spacing w:after="40" w:before="140"/>
      </w:pPr>
      <w:r>
        <w:rPr>
          <w:rFonts w:ascii="Calibri" w:cs="Calibri" w:eastAsia="Calibri" w:hAnsi="Calibri"/>
          <w:b/>
          <w:bCs/>
          <w:color w:val="14161B"/>
          <w:sz w:val="20"/>
          <w:szCs w:val="20"/>
        </w:rPr>
        <w:t xml:space="preserve">Board meetings abroad undermine the position</w:t>
      </w:r>
    </w:p>
    <w:p>
      <w:pPr>
        <w:spacing w:after="60" w:line="264"/>
        <w:jc w:val="both"/>
      </w:pPr>
      <w:r>
        <w:rPr>
          <w:rFonts w:ascii="Calibri" w:cs="Calibri" w:eastAsia="Calibri" w:hAnsi="Calibri"/>
          <w:sz w:val="19"/>
          <w:szCs w:val="19"/>
        </w:rPr>
        <w:t xml:space="preserve">Where directors are overseas and decisions are made elsewhere, effective management may sit outside the UAE regardless of registration. Meetings held here, with people physically present and properly minuted, are the core evidence.</w:t>
      </w:r>
    </w:p>
    <w:p>
      <w:pPr>
        <w:keepNext/>
        <w:spacing w:after="40" w:before="140"/>
      </w:pPr>
      <w:r>
        <w:rPr>
          <w:rFonts w:ascii="Calibri" w:cs="Calibri" w:eastAsia="Calibri" w:hAnsi="Calibri"/>
          <w:b/>
          <w:bCs/>
          <w:color w:val="14161B"/>
          <w:sz w:val="20"/>
          <w:szCs w:val="20"/>
        </w:rPr>
        <w:t xml:space="preserve">Branches are generally not resident</w:t>
      </w:r>
    </w:p>
    <w:p>
      <w:pPr>
        <w:spacing w:after="60" w:line="264"/>
        <w:jc w:val="both"/>
      </w:pPr>
      <w:r>
        <w:rPr>
          <w:rFonts w:ascii="Calibri" w:cs="Calibri" w:eastAsia="Calibri" w:hAnsi="Calibri"/>
          <w:sz w:val="19"/>
          <w:szCs w:val="19"/>
        </w:rPr>
        <w:t xml:space="preserve">A branch of a foreign company is typically treated as a permanent establishment rather than a UAE tax resident, which affects treaty access. A group wanting UAE residence generally needs a subsidiary — and that is an establishment decision, not one to revisit later.</w:t>
      </w:r>
    </w:p>
    <w:p>
      <w:pPr>
        <w:keepNext/>
        <w:spacing w:after="40" w:before="140"/>
      </w:pPr>
      <w:r>
        <w:rPr>
          <w:rFonts w:ascii="Calibri" w:cs="Calibri" w:eastAsia="Calibri" w:hAnsi="Calibri"/>
          <w:b/>
          <w:bCs/>
          <w:color w:val="14161B"/>
          <w:sz w:val="20"/>
          <w:szCs w:val="20"/>
        </w:rPr>
        <w:t xml:space="preserve">Substance carries three regimes at once</w:t>
      </w:r>
    </w:p>
    <w:p>
      <w:pPr>
        <w:spacing w:after="60" w:line="264"/>
        <w:jc w:val="both"/>
      </w:pPr>
      <w:r>
        <w:rPr>
          <w:rFonts w:ascii="Calibri" w:cs="Calibri" w:eastAsia="Calibri" w:hAnsi="Calibri"/>
          <w:sz w:val="19"/>
          <w:szCs w:val="19"/>
        </w:rPr>
        <w:t xml:space="preserve">Premises, staff, UAE-held meetings, expenditure and activity records support tax residency, a QFZP claim and any economic substance position simultaneously. Assemble the evidence once and use it for all three.</w:t>
      </w:r>
    </w:p>
    <w:p>
      <w:pPr>
        <w:keepNext/>
        <w:spacing w:after="40" w:before="140"/>
      </w:pPr>
      <w:r>
        <w:rPr>
          <w:rFonts w:ascii="Calibri" w:cs="Calibri" w:eastAsia="Calibri" w:hAnsi="Calibri"/>
          <w:b/>
          <w:bCs/>
          <w:color w:val="14161B"/>
          <w:sz w:val="20"/>
          <w:szCs w:val="20"/>
        </w:rPr>
        <w:t xml:space="preserve">Treaty benefits are not automatic</w:t>
      </w:r>
    </w:p>
    <w:p>
      <w:pPr>
        <w:spacing w:after="60" w:line="264"/>
        <w:jc w:val="both"/>
      </w:pPr>
      <w:r>
        <w:rPr>
          <w:rFonts w:ascii="Calibri" w:cs="Calibri" w:eastAsia="Calibri" w:hAnsi="Calibri"/>
          <w:sz w:val="19"/>
          <w:szCs w:val="19"/>
        </w:rPr>
        <w:t xml:space="preserve">Many treaties contain anti-abuse or principal purpose provisions denying benefits to arrangements without commercial substance. An entity with no premises, no staff and no decisions taken here is a poor candidate however clean its paperwork.</w:t>
      </w:r>
    </w:p>
    <w:p>
      <w:pPr>
        <w:keepNext/>
        <w:spacing w:after="40" w:before="140"/>
      </w:pPr>
      <w:r>
        <w:rPr>
          <w:rFonts w:ascii="Calibri" w:cs="Calibri" w:eastAsia="Calibri" w:hAnsi="Calibri"/>
          <w:b/>
          <w:bCs/>
          <w:color w:val="14161B"/>
          <w:sz w:val="20"/>
          <w:szCs w:val="20"/>
        </w:rPr>
        <w:t xml:space="preserve">Certificates are period-specific</w:t>
      </w:r>
    </w:p>
    <w:p>
      <w:pPr>
        <w:spacing w:after="60" w:line="264"/>
        <w:jc w:val="both"/>
      </w:pPr>
      <w:r>
        <w:rPr>
          <w:rFonts w:ascii="Calibri" w:cs="Calibri" w:eastAsia="Calibri" w:hAnsi="Calibri"/>
          <w:sz w:val="19"/>
          <w:szCs w:val="19"/>
        </w:rPr>
        <w:t xml:space="preserve">They cover a defined financial year or period and need renewing. Treating one as a permanent credential produces a gap discovered when a payer asks for a current copy.</w:t>
      </w:r>
    </w:p>
    <w:p>
      <w:pPr>
        <w:keepNext/>
        <w:spacing w:after="40" w:before="140"/>
      </w:pPr>
      <w:r>
        <w:rPr>
          <w:rFonts w:ascii="Calibri" w:cs="Calibri" w:eastAsia="Calibri" w:hAnsi="Calibri"/>
          <w:b/>
          <w:bCs/>
          <w:color w:val="14161B"/>
          <w:sz w:val="20"/>
          <w:szCs w:val="20"/>
        </w:rPr>
        <w:t xml:space="preserve">Individuals must evidence presence</w:t>
      </w:r>
    </w:p>
    <w:p>
      <w:pPr>
        <w:spacing w:after="60" w:line="264"/>
        <w:jc w:val="both"/>
      </w:pPr>
      <w:r>
        <w:rPr>
          <w:rFonts w:ascii="Calibri" w:cs="Calibri" w:eastAsia="Calibri" w:hAnsi="Calibri"/>
          <w:sz w:val="19"/>
          <w:szCs w:val="19"/>
        </w:rPr>
        <w:t xml:space="preserve">Day-count thresholds and residence criteria apply, and entry and exit records are the evidence. Someone who believes they are resident because they hold a visa may not meet the test.</w:t>
      </w:r>
    </w:p>
    <w:p>
      <w:pPr>
        <w:keepNext/>
        <w:spacing w:after="40" w:before="140"/>
      </w:pPr>
      <w:r>
        <w:rPr>
          <w:rFonts w:ascii="Calibri" w:cs="Calibri" w:eastAsia="Calibri" w:hAnsi="Calibri"/>
          <w:b/>
          <w:bCs/>
          <w:color w:val="14161B"/>
          <w:sz w:val="20"/>
          <w:szCs w:val="20"/>
        </w:rPr>
        <w:t xml:space="preserve">Confirm the criteria each time</w:t>
      </w:r>
    </w:p>
    <w:p>
      <w:pPr>
        <w:spacing w:after="60" w:line="264"/>
        <w:jc w:val="both"/>
      </w:pPr>
      <w:r>
        <w:rPr>
          <w:rFonts w:ascii="Calibri" w:cs="Calibri" w:eastAsia="Calibri" w:hAnsi="Calibri"/>
          <w:sz w:val="19"/>
          <w:szCs w:val="19"/>
        </w:rPr>
        <w:t xml:space="preserve">Residency criteria, day-count thresholds and documentary requirements are set by Cabinet Decision and have been refined. Working from an older checklist produces an incomplete application that is simply returned.</w:t>
      </w:r>
    </w:p>
    <w:p>
      <w:pPr>
        <w:keepNext/>
        <w:spacing w:after="40" w:before="140"/>
      </w:pPr>
      <w:r>
        <w:rPr>
          <w:rFonts w:ascii="Calibri" w:cs="Calibri" w:eastAsia="Calibri" w:hAnsi="Calibri"/>
          <w:b/>
          <w:bCs/>
          <w:color w:val="14161B"/>
          <w:sz w:val="20"/>
          <w:szCs w:val="20"/>
        </w:rPr>
        <w:t xml:space="preserve">Free zone residency and QFZP are different questions</w:t>
      </w:r>
    </w:p>
    <w:p>
      <w:pPr>
        <w:spacing w:after="60" w:line="264"/>
        <w:jc w:val="both"/>
      </w:pPr>
      <w:r>
        <w:rPr>
          <w:rFonts w:ascii="Calibri" w:cs="Calibri" w:eastAsia="Calibri" w:hAnsi="Calibri"/>
          <w:sz w:val="19"/>
          <w:szCs w:val="19"/>
        </w:rPr>
        <w:t xml:space="preserve">A free zone entity may be UAE tax resident while failing the separate conditions for the 0% qualifying rate, or the reverse. Do not conflate the two analyses.</w:t>
      </w:r>
    </w:p>
    <w:p>
      <w:pPr>
        <w:keepNext/>
        <w:spacing w:after="40" w:before="140"/>
      </w:pPr>
      <w:r>
        <w:rPr>
          <w:rFonts w:ascii="Calibri" w:cs="Calibri" w:eastAsia="Calibri" w:hAnsi="Calibri"/>
          <w:b/>
          <w:bCs/>
          <w:color w:val="14161B"/>
          <w:sz w:val="20"/>
          <w:szCs w:val="20"/>
        </w:rPr>
        <w:t xml:space="preserve">Give the certificate to the payer</w:t>
      </w:r>
    </w:p>
    <w:p>
      <w:pPr>
        <w:spacing w:after="60" w:line="264"/>
        <w:jc w:val="both"/>
      </w:pPr>
      <w:r>
        <w:rPr>
          <w:rFonts w:ascii="Calibri" w:cs="Calibri" w:eastAsia="Calibri" w:hAnsi="Calibri"/>
          <w:sz w:val="19"/>
          <w:szCs w:val="19"/>
        </w:rPr>
        <w:t xml:space="preserve">The benefit is applied by whoever makes the payment, in their country, at their point of withholding. The certificate is worth nothing sitting in your own files.</w:t>
      </w:r>
    </w:p>
    <w:p>
      <w:pPr>
        <w:keepNext/>
        <w:spacing w:after="40" w:before="140"/>
      </w:pPr>
      <w:r>
        <w:rPr>
          <w:rFonts w:ascii="Calibri" w:cs="Calibri" w:eastAsia="Calibri" w:hAnsi="Calibri"/>
          <w:b/>
          <w:bCs/>
          <w:color w:val="14161B"/>
          <w:sz w:val="20"/>
          <w:szCs w:val="20"/>
        </w:rPr>
        <w:t xml:space="preserve">Keep the supporting evidence</w:t>
      </w:r>
    </w:p>
    <w:p>
      <w:pPr>
        <w:spacing w:after="60" w:line="264"/>
        <w:jc w:val="both"/>
      </w:pPr>
      <w:r>
        <w:rPr>
          <w:rFonts w:ascii="Calibri" w:cs="Calibri" w:eastAsia="Calibri" w:hAnsi="Calibri"/>
          <w:sz w:val="19"/>
          <w:szCs w:val="19"/>
        </w:rPr>
        <w:t xml:space="preserve">The FTA may request further evidence of substance, and a foreign authority may later question the position. The application file should be retained with the tax records for the full retention period.</w:t>
      </w:r>
    </w:p>
    <w:p>
      <w:pPr>
        <w:keepNext/>
        <w:spacing w:after="40" w:before="140"/>
      </w:pPr>
      <w:r>
        <w:rPr>
          <w:rFonts w:ascii="Calibri" w:cs="Calibri" w:eastAsia="Calibri" w:hAnsi="Calibri"/>
          <w:b/>
          <w:bCs/>
          <w:color w:val="14161B"/>
          <w:sz w:val="20"/>
          <w:szCs w:val="20"/>
        </w:rPr>
        <w:t xml:space="preserve">Take advice on structuring, not just filing</w:t>
      </w:r>
    </w:p>
    <w:p>
      <w:pPr>
        <w:spacing w:after="60" w:line="264"/>
        <w:jc w:val="both"/>
      </w:pPr>
      <w:r>
        <w:rPr>
          <w:rFonts w:ascii="Calibri" w:cs="Calibri" w:eastAsia="Calibri" w:hAnsi="Calibri"/>
          <w:sz w:val="19"/>
          <w:szCs w:val="19"/>
        </w:rPr>
        <w:t xml:space="preserve">Where treaty access materially affects the economics of a cross-border arrangement, the structure needs to be designed for it. Applying for a certificate after the fact rarely fixes a structure that lacks substance.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Tax residency criteria for juridical and natural persons, day-count thresholds, documentary requirements, treaty networks and anti-abuse provisions all change — confirm with the Federal Tax Authority and take UAE and destination-country tax advice before relying on treaty relief.</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2026-08-23T16:28:33.331Z</dcterms:created>
  <dcterms:modified xsi:type="dcterms:W3CDTF">2026-08-23T16:28:33.331Z</dcterms:modified>
</cp:coreProperties>
</file>

<file path=docProps/custom.xml><?xml version="1.0" encoding="utf-8"?>
<Properties xmlns="http://schemas.openxmlformats.org/officeDocument/2006/custom-properties" xmlns:vt="http://schemas.openxmlformats.org/officeDocument/2006/docPropsVTypes"/>
</file>