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SUPPLY OF GOODS</w:t>
      </w:r>
    </w:p>
    <w:p>
      <w:pPr>
        <w:spacing w:after="260"/>
        <w:jc w:val="center"/>
      </w:pPr>
      <w:r>
        <w:rPr>
          <w:rFonts w:ascii="Calibri" w:cs="Calibri" w:eastAsia="Calibri" w:hAnsi="Calibri"/>
          <w:i/>
          <w:iCs/>
          <w:color w:val="6E7480"/>
          <w:sz w:val="19"/>
          <w:szCs w:val="19"/>
        </w:rPr>
        <w:t xml:space="preserve">Terms, risk, title and import</w:t>
      </w:r>
    </w:p>
    <w:p>
      <w:pPr>
        <w:spacing w:after="180" w:before="0" w:line="276"/>
        <w:jc w:val="both"/>
      </w:pPr>
      <w:r>
        <w:rPr>
          <w:rFonts w:ascii="Calibri" w:cs="Calibri" w:eastAsia="Calibri" w:hAnsi="Calibri"/>
          <w:i/>
          <w:iCs/>
          <w:color w:val="6E7480"/>
          <w:sz w:val="21"/>
          <w:szCs w:val="21"/>
        </w:rPr>
        <w:t xml:space="preserve">Two questions decide most of what matters. </w:t>
      </w:r>
      <w:r>
        <w:rPr>
          <w:rFonts w:ascii="Calibri" w:cs="Calibri" w:eastAsia="Calibri" w:hAnsi="Calibri"/>
          <w:b/>
          <w:bCs/>
          <w:i/>
          <w:iCs/>
          <w:color w:val="6E7480"/>
          <w:sz w:val="21"/>
          <w:szCs w:val="21"/>
        </w:rPr>
        <w:t xml:space="preserve">Who is the importer of record</w:t>
      </w:r>
      <w:r>
        <w:rPr>
          <w:rFonts w:ascii="Calibri" w:cs="Calibri" w:eastAsia="Calibri" w:hAnsi="Calibri"/>
          <w:i/>
          <w:iCs/>
          <w:color w:val="6E7480"/>
          <w:sz w:val="21"/>
          <w:szCs w:val="21"/>
        </w:rPr>
        <w:t xml:space="preserve"> — which determines who pays import VAT and duty and who carries product compliance. And </w:t>
      </w:r>
      <w:r>
        <w:rPr>
          <w:rFonts w:ascii="Calibri" w:cs="Calibri" w:eastAsia="Calibri" w:hAnsi="Calibri"/>
          <w:b/>
          <w:bCs/>
          <w:i/>
          <w:iCs/>
          <w:color w:val="6E7480"/>
          <w:sz w:val="21"/>
          <w:szCs w:val="21"/>
        </w:rPr>
        <w:t xml:space="preserve">when does title pass</w:t>
      </w:r>
      <w:r>
        <w:rPr>
          <w:rFonts w:ascii="Calibri" w:cs="Calibri" w:eastAsia="Calibri" w:hAnsi="Calibri"/>
          <w:i/>
          <w:iCs/>
          <w:color w:val="6E7480"/>
          <w:sz w:val="21"/>
          <w:szCs w:val="21"/>
        </w:rPr>
        <w:t xml:space="preserve"> — which decides whether the supplier can recover unpaid goods if the buyer fails. Settle both before the delivery term.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Supplier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[licence / registration]</w:t>
            </w:r>
            <w:r>
              <w:rPr>
                <w:rFonts w:ascii="Calibri" w:cs="Calibri" w:eastAsia="Calibri" w:hAnsi="Calibri"/>
                <w:sz w:val="19"/>
                <w:szCs w:val="19"/>
              </w:rPr>
              <w:t xml:space="preserve">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[jurisdiction]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Buyer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[jurisdiction]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Goods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w:t>
            </w:r>
            <w:r>
              <w:rPr>
                <w:rFonts w:ascii="Calibri" w:cs="Calibri" w:eastAsia="Calibri" w:hAnsi="Calibri"/>
                <w:sz w:val="19"/>
                <w:szCs w:val="19"/>
              </w:rPr>
              <w:t xml:space="preserve"> years from </w:t>
            </w:r>
            <w:r>
              <w:rPr>
                <w:rFonts w:ascii="Calibri" w:cs="Calibri" w:eastAsia="Calibri" w:hAnsi="Calibri"/>
                <w:b/>
                <w:bCs/>
                <w:sz w:val="19"/>
                <w:szCs w:val="19"/>
              </w:rPr>
              <w:t xml:space="preserve">[DATE]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Delivery term</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 Works / FCA / CIF / DDP — Incoterms 2020]</w:t>
            </w:r>
            <w:r>
              <w:rPr>
                <w:rFonts w:ascii="Calibri" w:cs="Calibri" w:eastAsia="Calibri" w:hAnsi="Calibri"/>
                <w:sz w:val="19"/>
                <w:szCs w:val="19"/>
              </w:rPr>
              <w:t xml:space="preserve">, at </w:t>
            </w:r>
            <w:r>
              <w:rPr>
                <w:rFonts w:ascii="Calibri" w:cs="Calibri" w:eastAsia="Calibri" w:hAnsi="Calibri"/>
                <w:b/>
                <w:bCs/>
                <w:sz w:val="19"/>
                <w:szCs w:val="19"/>
              </w:rPr>
              <w:t xml:space="preserve">[NAMED PLACE]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Importer of record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[Supplier / Buyer]</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Risk passes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 delivery at the named place]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 passes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 payment in full — retention of title]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terms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[30]</w:t>
            </w:r>
            <w:r>
              <w:rPr>
                <w:rFonts w:ascii="Calibri" w:cs="Calibri" w:eastAsia="Calibri" w:hAnsi="Calibri"/>
                <w:sz w:val="19"/>
                <w:szCs w:val="19"/>
              </w:rPr>
              <w:t xml:space="preserve"> days from a valid tax invoice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 where applicable; </w:t>
            </w:r>
            <w:r>
              <w:rPr>
                <w:rFonts w:ascii="Calibri" w:cs="Calibri" w:eastAsia="Calibri" w:hAnsi="Calibri"/>
                <w:b/>
                <w:bCs/>
                <w:sz w:val="19"/>
                <w:szCs w:val="19"/>
              </w:rPr>
              <w:t xml:space="preserve">designated zone treatment differs for goods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 and forum</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 of ______ / DIFC / ADGM / Arbitration]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ORDERS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agreement sets the terms on which the Supplier supplies the Goods. It does not commit the Buyer to any minimum quantity unless stated.</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Buyer places orders specifying goods, quantity, price, delivery date and address. An order is accepted when confirmed in writing or on despatch.</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These terms apply to every order. </w:t>
      </w:r>
      <w:r>
        <w:rPr>
          <w:rFonts w:ascii="Calibri" w:cs="Calibri" w:eastAsia="Calibri" w:hAnsi="Calibri"/>
          <w:b/>
          <w:bCs/>
          <w:sz w:val="21"/>
          <w:szCs w:val="21"/>
        </w:rPr>
        <w:t xml:space="preserve">The Buyer’s purchase order terms and the Supplier’s standard terms do not apply</w:t>
      </w:r>
      <w:r>
        <w:rPr>
          <w:rFonts w:ascii="Calibri" w:cs="Calibri" w:eastAsia="Calibri" w:hAnsi="Calibri"/>
          <w:sz w:val="21"/>
          <w:szCs w:val="21"/>
        </w:rPr>
        <w:t xml:space="preserve">, wherever they appear.</w:t>
      </w:r>
    </w:p>
    <w:p>
      <w:pPr>
        <w:keepNext/>
        <w:spacing w:after="120" w:before="280"/>
        <w:outlineLvl w:val="0"/>
      </w:pPr>
      <w:r>
        <w:rPr>
          <w:rFonts w:ascii="Calibri" w:cs="Calibri" w:eastAsia="Calibri" w:hAnsi="Calibri"/>
          <w:b/>
          <w:bCs/>
          <w:color w:val="14161B"/>
          <w:sz w:val="22"/>
          <w:szCs w:val="22"/>
        </w:rPr>
        <w:t xml:space="preserve">2. PRICE AND PAYMENT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Prices are as stated in Schedule 1, exclusive of VAT, and are fixed for </w:t>
      </w:r>
      <w:r>
        <w:rPr>
          <w:rFonts w:ascii="Calibri" w:cs="Calibri" w:eastAsia="Calibri" w:hAnsi="Calibri"/>
          <w:b/>
          <w:bCs/>
          <w:sz w:val="21"/>
          <w:szCs w:val="21"/>
        </w:rPr>
        <w:t xml:space="preserve">[12]</w:t>
      </w:r>
      <w:r>
        <w:rPr>
          <w:rFonts w:ascii="Calibri" w:cs="Calibri" w:eastAsia="Calibri" w:hAnsi="Calibri"/>
          <w:sz w:val="21"/>
          <w:szCs w:val="21"/>
        </w:rPr>
        <w:t xml:space="preserve"> months, thereafter revisable on </w:t>
      </w:r>
      <w:r>
        <w:rPr>
          <w:rFonts w:ascii="Calibri" w:cs="Calibri" w:eastAsia="Calibri" w:hAnsi="Calibri"/>
          <w:b/>
          <w:bCs/>
          <w:sz w:val="21"/>
          <w:szCs w:val="21"/>
        </w:rPr>
        <w:t xml:space="preserve">[60]</w:t>
      </w:r>
      <w:r>
        <w:rPr>
          <w:rFonts w:ascii="Calibri" w:cs="Calibri" w:eastAsia="Calibri" w:hAnsi="Calibri"/>
          <w:sz w:val="21"/>
          <w:szCs w:val="21"/>
        </w:rPr>
        <w:t xml:space="preserve"> days notice.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Supplier shall issue a </w:t>
      </w:r>
      <w:r>
        <w:rPr>
          <w:rFonts w:ascii="Calibri" w:cs="Calibri" w:eastAsia="Calibri" w:hAnsi="Calibri"/>
          <w:b/>
          <w:bCs/>
          <w:sz w:val="21"/>
          <w:szCs w:val="21"/>
        </w:rPr>
        <w:t xml:space="preserve">valid tax invoice</w:t>
      </w:r>
      <w:r>
        <w:rPr>
          <w:rFonts w:ascii="Calibri" w:cs="Calibri" w:eastAsia="Calibri" w:hAnsi="Calibri"/>
          <w:sz w:val="21"/>
          <w:szCs w:val="21"/>
        </w:rPr>
        <w:t xml:space="preserve"> and the Buyer shall pay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VAT</w:t>
      </w:r>
      <w:r>
        <w:rPr>
          <w:rFonts w:ascii="Calibri" w:cs="Calibri" w:eastAsia="Calibri" w:hAnsi="Calibri"/>
          <w:sz w:val="21"/>
          <w:szCs w:val="21"/>
        </w:rPr>
        <w:t xml:space="preserve"> is charged in addition where applicable. </w:t>
      </w:r>
      <w:r>
        <w:rPr>
          <w:rFonts w:ascii="Calibri" w:cs="Calibri" w:eastAsia="Calibri" w:hAnsi="Calibri"/>
          <w:i/>
          <w:iCs/>
          <w:sz w:val="21"/>
          <w:szCs w:val="21"/>
        </w:rPr>
        <w:t xml:space="preserve">Where goods move within or between designated zones the treatment may differ; where they leave a designated zone for the mainland, VAT becomes payable, commonly under the reverse charge.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Buyer shall not withhold or set off except a sum genuinely disputed and notified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Late payment carries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and the Supplier may suspend deliveries on </w:t>
      </w:r>
      <w:r>
        <w:rPr>
          <w:rFonts w:ascii="Calibri" w:cs="Calibri" w:eastAsia="Calibri" w:hAnsi="Calibri"/>
          <w:b/>
          <w:bCs/>
          <w:sz w:val="21"/>
          <w:szCs w:val="21"/>
        </w:rPr>
        <w:t xml:space="preserve">[7]</w:t>
      </w:r>
      <w:r>
        <w:rPr>
          <w:rFonts w:ascii="Calibri" w:cs="Calibri" w:eastAsia="Calibri" w:hAnsi="Calibri"/>
          <w:sz w:val="21"/>
          <w:szCs w:val="21"/>
        </w:rPr>
        <w:t xml:space="preserve"> days notice where an undisputed invoice is more than </w:t>
      </w:r>
      <w:r>
        <w:rPr>
          <w:rFonts w:ascii="Calibri" w:cs="Calibri" w:eastAsia="Calibri" w:hAnsi="Calibri"/>
          <w:b/>
          <w:bCs/>
          <w:sz w:val="21"/>
          <w:szCs w:val="21"/>
        </w:rPr>
        <w:t xml:space="preserve">[30]</w:t>
      </w:r>
      <w:r>
        <w:rPr>
          <w:rFonts w:ascii="Calibri" w:cs="Calibri" w:eastAsia="Calibri" w:hAnsi="Calibri"/>
          <w:sz w:val="21"/>
          <w:szCs w:val="21"/>
        </w:rPr>
        <w:t xml:space="preserve"> days overdue.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[Where payment is by cheque]</w:t>
      </w:r>
      <w:r>
        <w:rPr>
          <w:rFonts w:ascii="Calibri" w:cs="Calibri" w:eastAsia="Calibri" w:hAnsi="Calibri"/>
          <w:sz w:val="21"/>
          <w:szCs w:val="21"/>
        </w:rPr>
        <w:t xml:space="preserve"> Where the Buyer provides post-dated cheques, it warrants that funds will be available on presentation. </w:t>
      </w:r>
      <w:r>
        <w:rPr>
          <w:rFonts w:ascii="Calibri" w:cs="Calibri" w:eastAsia="Calibri" w:hAnsi="Calibri"/>
          <w:i/>
          <w:iCs/>
          <w:sz w:val="21"/>
          <w:szCs w:val="21"/>
        </w:rPr>
        <w:t xml:space="preserve">The treatment of dishonoured cheques was substantially reformed in 2022 — confirm the current enforcement position rather than relying on older assumptions.</w:t>
      </w:r>
    </w:p>
    <w:p>
      <w:pPr>
        <w:keepNext/>
        <w:spacing w:after="120" w:before="280"/>
        <w:outlineLvl w:val="0"/>
      </w:pPr>
      <w:r>
        <w:rPr>
          <w:rFonts w:ascii="Calibri" w:cs="Calibri" w:eastAsia="Calibri" w:hAnsi="Calibri"/>
          <w:b/>
          <w:bCs/>
          <w:color w:val="14161B"/>
          <w:sz w:val="22"/>
          <w:szCs w:val="22"/>
        </w:rPr>
        <w:t xml:space="preserve">3. DELIVERY, RISK AND TITLE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Delivery is on the agreed Incoterm at the named place, on the date in the order.</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Risk</w:t>
      </w:r>
      <w:r>
        <w:rPr>
          <w:rFonts w:ascii="Calibri" w:cs="Calibri" w:eastAsia="Calibri" w:hAnsi="Calibri"/>
          <w:sz w:val="21"/>
          <w:szCs w:val="21"/>
        </w:rPr>
        <w:t xml:space="preserve"> passes to the Buyer </w:t>
      </w:r>
      <w:r>
        <w:rPr>
          <w:rFonts w:ascii="Calibri" w:cs="Calibri" w:eastAsia="Calibri" w:hAnsi="Calibri"/>
          <w:b/>
          <w:bCs/>
          <w:sz w:val="21"/>
          <w:szCs w:val="21"/>
        </w:rPr>
        <w:t xml:space="preserve">[on delivery at the named place]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Title</w:t>
      </w:r>
      <w:r>
        <w:rPr>
          <w:rFonts w:ascii="Calibri" w:cs="Calibri" w:eastAsia="Calibri" w:hAnsi="Calibri"/>
          <w:sz w:val="21"/>
          <w:szCs w:val="21"/>
        </w:rPr>
        <w:t xml:space="preserve"> does </w:t>
      </w:r>
      <w:r>
        <w:rPr>
          <w:rFonts w:ascii="Calibri" w:cs="Calibri" w:eastAsia="Calibri" w:hAnsi="Calibri"/>
          <w:b/>
          <w:bCs/>
          <w:sz w:val="21"/>
          <w:szCs w:val="21"/>
        </w:rPr>
        <w:t xml:space="preserve">not</w:t>
      </w:r>
      <w:r>
        <w:rPr>
          <w:rFonts w:ascii="Calibri" w:cs="Calibri" w:eastAsia="Calibri" w:hAnsi="Calibri"/>
          <w:sz w:val="21"/>
          <w:szCs w:val="21"/>
        </w:rPr>
        <w:t xml:space="preserve"> pass until the Supplier has received </w:t>
      </w:r>
      <w:r>
        <w:rPr>
          <w:rFonts w:ascii="Calibri" w:cs="Calibri" w:eastAsia="Calibri" w:hAnsi="Calibri"/>
          <w:b/>
          <w:bCs/>
          <w:sz w:val="21"/>
          <w:szCs w:val="21"/>
        </w:rPr>
        <w:t xml:space="preserve">payment in full</w:t>
      </w:r>
      <w:r>
        <w:rPr>
          <w:rFonts w:ascii="Calibri" w:cs="Calibri" w:eastAsia="Calibri" w:hAnsi="Calibri"/>
          <w:sz w:val="21"/>
          <w:szCs w:val="21"/>
        </w:rPr>
        <w:t xml:space="preserve"> for those Goods </w:t>
      </w:r>
      <w:r>
        <w:rPr>
          <w:rFonts w:ascii="Calibri" w:cs="Calibri" w:eastAsia="Calibri" w:hAnsi="Calibri"/>
          <w:b/>
          <w:bCs/>
          <w:sz w:val="21"/>
          <w:szCs w:val="21"/>
        </w:rPr>
        <w:t xml:space="preserve">[and all other sums then due]</w:t>
      </w:r>
      <w:r>
        <w:rPr>
          <w:rFonts w:ascii="Calibri" w:cs="Calibri" w:eastAsia="Calibri" w:hAnsi="Calibri"/>
          <w:sz w:val="21"/>
          <w:szCs w:val="21"/>
        </w:rPr>
        <w:t xml:space="preserve">. Until then:</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Buyer holds the Goods as bailee, stores them separately and identifiably, and does not remove identifying marks;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Buyer may resell in the ordinary course but </w:t>
      </w:r>
      <w:r>
        <w:rPr>
          <w:rFonts w:ascii="Calibri" w:cs="Calibri" w:eastAsia="Calibri" w:hAnsi="Calibri"/>
          <w:b/>
          <w:bCs/>
          <w:sz w:val="21"/>
          <w:szCs w:val="21"/>
        </w:rPr>
        <w:t xml:space="preserve">[shall account to the Supplier for the price]</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Supplier may on reasonable notice enter the Buyer’s premises to recover unpaid Goods.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Retention of title is the supplier’s main protection against buyer failure, and its effectiveness depends on the goods remaining identifiable and separate. Where goods are mixed or incorporated, the position weakens. Take UAE advice on how far retention of title is enforceable in practice before relying on it as the principal protection.</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Delivery dates are estimates unless expressly stated to be binding. The Supplier shall notify any expected delay promptly.</w:t>
      </w:r>
    </w:p>
    <w:p>
      <w:pPr>
        <w:keepNext/>
        <w:spacing w:after="120" w:before="280"/>
        <w:outlineLvl w:val="0"/>
      </w:pPr>
      <w:r>
        <w:rPr>
          <w:rFonts w:ascii="Calibri" w:cs="Calibri" w:eastAsia="Calibri" w:hAnsi="Calibri"/>
          <w:b/>
          <w:bCs/>
          <w:color w:val="14161B"/>
          <w:sz w:val="22"/>
          <w:szCs w:val="22"/>
        </w:rPr>
        <w:t xml:space="preserve">4. IMPORT AND COMPLIANCE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w:t>
      </w:r>
      <w:r>
        <w:rPr>
          <w:rFonts w:ascii="Calibri" w:cs="Calibri" w:eastAsia="Calibri" w:hAnsi="Calibri"/>
          <w:b/>
          <w:bCs/>
          <w:sz w:val="21"/>
          <w:szCs w:val="21"/>
        </w:rPr>
        <w:t xml:space="preserve">importer of record</w:t>
      </w:r>
      <w:r>
        <w:rPr>
          <w:rFonts w:ascii="Calibri" w:cs="Calibri" w:eastAsia="Calibri" w:hAnsi="Calibri"/>
          <w:sz w:val="21"/>
          <w:szCs w:val="21"/>
        </w:rPr>
        <w:t xml:space="preserve"> is </w:t>
      </w:r>
      <w:r>
        <w:rPr>
          <w:rFonts w:ascii="Calibri" w:cs="Calibri" w:eastAsia="Calibri" w:hAnsi="Calibri"/>
          <w:b/>
          <w:bCs/>
          <w:sz w:val="21"/>
          <w:szCs w:val="21"/>
        </w:rPr>
        <w:t xml:space="preserve">[Supplier / Buyer]</w:t>
      </w:r>
      <w:r>
        <w:rPr>
          <w:rFonts w:ascii="Calibri" w:cs="Calibri" w:eastAsia="Calibri" w:hAnsi="Calibri"/>
          <w:sz w:val="21"/>
          <w:szCs w:val="21"/>
        </w:rPr>
        <w:t xml:space="preserve">, who is responsible for customs clearance, import duty, import VAT and any permit or registration required.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Supplier shall provide the documentation required for import, including </w:t>
      </w:r>
      <w:r>
        <w:rPr>
          <w:rFonts w:ascii="Calibri" w:cs="Calibri" w:eastAsia="Calibri" w:hAnsi="Calibri"/>
          <w:b/>
          <w:bCs/>
          <w:sz w:val="21"/>
          <w:szCs w:val="21"/>
        </w:rPr>
        <w:t xml:space="preserve">[certificate of origin, conformity certificates, test reports, and safety data sheets]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Goods shall comply with the standards, labelling and marking requirements applying in the UAE, including Arabic labelling where required.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Supplier shall notify the Buyer promptly of any recall, safety notice or regulatory action affecting the Goods.</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i/>
          <w:iCs/>
          <w:sz w:val="21"/>
          <w:szCs w:val="21"/>
        </w:rPr>
        <w:t xml:space="preserve">Establish who imports before agreeing the delivery term. A DDP term makes the supplier responsible for clearance and import VAT; an Ex Works term puts it entirely on the buyer. Getting this wrong is discovered at the port.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INSPECTION AND REJECTION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Buyer shall inspect on delivery and notify shortage, damage or visible defect within </w:t>
      </w:r>
      <w:r>
        <w:rPr>
          <w:rFonts w:ascii="Calibri" w:cs="Calibri" w:eastAsia="Calibri" w:hAnsi="Calibri"/>
          <w:b/>
          <w:bCs/>
          <w:sz w:val="21"/>
          <w:szCs w:val="21"/>
        </w:rPr>
        <w:t xml:space="preserve">[5]</w:t>
      </w:r>
      <w:r>
        <w:rPr>
          <w:rFonts w:ascii="Calibri" w:cs="Calibri" w:eastAsia="Calibri" w:hAnsi="Calibri"/>
          <w:sz w:val="21"/>
          <w:szCs w:val="21"/>
        </w:rPr>
        <w:t xml:space="preserve"> business days.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Latent defects shall be notified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discovery and within the warranty period.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Goods not rejected within those periods are deemed accepted.</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Validly rejected Goods shall be replaced or refunded at the Supplier’s option, with the Supplier bearing return costs.</w:t>
      </w:r>
    </w:p>
    <w:p>
      <w:pPr>
        <w:keepNext/>
        <w:spacing w:after="120" w:before="280"/>
        <w:outlineLvl w:val="0"/>
      </w:pPr>
      <w:r>
        <w:rPr>
          <w:rFonts w:ascii="Calibri" w:cs="Calibri" w:eastAsia="Calibri" w:hAnsi="Calibri"/>
          <w:b/>
          <w:bCs/>
          <w:color w:val="14161B"/>
          <w:sz w:val="22"/>
          <w:szCs w:val="22"/>
        </w:rPr>
        <w:t xml:space="preserve">6. WARRANTIES AND LIABILITY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Supplier warrants that the Goods conform to specification, are free from material defects for </w:t>
      </w:r>
      <w:r>
        <w:rPr>
          <w:rFonts w:ascii="Calibri" w:cs="Calibri" w:eastAsia="Calibri" w:hAnsi="Calibri"/>
          <w:b/>
          <w:bCs/>
          <w:sz w:val="21"/>
          <w:szCs w:val="21"/>
        </w:rPr>
        <w:t xml:space="preserve">[12]</w:t>
      </w:r>
      <w:r>
        <w:rPr>
          <w:rFonts w:ascii="Calibri" w:cs="Calibri" w:eastAsia="Calibri" w:hAnsi="Calibri"/>
          <w:sz w:val="21"/>
          <w:szCs w:val="21"/>
        </w:rPr>
        <w:t xml:space="preserve"> months from delivery, are supplied with good title subject to Clause 3.3, and comply with applicable UAE law and standards.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warranty excludes fair wear and tear, misuse, incorrect storage, unauthorised modification and use contrary to instructions.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Neither party excludes liability for death or personal injury caused by negligence, for fraud, or for anything that cannot lawfully be excluded.</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Subject to Clause 6.3, neither party is liable for </w:t>
      </w:r>
      <w:r>
        <w:rPr>
          <w:rFonts w:ascii="Calibri" w:cs="Calibri" w:eastAsia="Calibri" w:hAnsi="Calibri"/>
          <w:b/>
          <w:bCs/>
          <w:sz w:val="21"/>
          <w:szCs w:val="21"/>
        </w:rPr>
        <w:t xml:space="preserve">indirect or consequential loss, loss of profit, loss of production or loss of goodwill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Subject to Clause 6.3, the Supplier’s total liability is capped at </w:t>
      </w:r>
      <w:r>
        <w:rPr>
          <w:rFonts w:ascii="Calibri" w:cs="Calibri" w:eastAsia="Calibri" w:hAnsi="Calibri"/>
          <w:b/>
          <w:bCs/>
          <w:sz w:val="21"/>
          <w:szCs w:val="21"/>
        </w:rPr>
        <w:t xml:space="preserve">[the price of the Goods giving rise to the claim / AED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The Supplier shall maintain product liability and public liability insurance of not less than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and provide evidence on request.</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i/>
          <w:iCs/>
          <w:sz w:val="21"/>
          <w:szCs w:val="21"/>
        </w:rPr>
        <w:t xml:space="preserve">Where defective goods could halt a production line or damage other property, a cap set at the price of the goods leaves the buyer bearing almost all the real exposure. That is a commercial allocation and it should be a conscious one.</w:t>
      </w:r>
    </w:p>
    <w:p>
      <w:pPr>
        <w:keepNext/>
        <w:spacing w:after="120" w:before="280"/>
        <w:outlineLvl w:val="0"/>
      </w:pPr>
      <w:r>
        <w:rPr>
          <w:rFonts w:ascii="Calibri" w:cs="Calibri" w:eastAsia="Calibri" w:hAnsi="Calibri"/>
          <w:b/>
          <w:bCs/>
          <w:color w:val="14161B"/>
          <w:sz w:val="22"/>
          <w:szCs w:val="22"/>
        </w:rPr>
        <w:t xml:space="preserve">7. TERM AND TERMINATION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This agreement runs for the stated term and renews for successive </w:t>
      </w:r>
      <w:r>
        <w:rPr>
          <w:rFonts w:ascii="Calibri" w:cs="Calibri" w:eastAsia="Calibri" w:hAnsi="Calibri"/>
          <w:b/>
          <w:bCs/>
          <w:sz w:val="21"/>
          <w:szCs w:val="21"/>
        </w:rPr>
        <w:t xml:space="preserve">[12]</w:t>
      </w:r>
      <w:r>
        <w:rPr>
          <w:rFonts w:ascii="Calibri" w:cs="Calibri" w:eastAsia="Calibri" w:hAnsi="Calibri"/>
          <w:sz w:val="21"/>
          <w:szCs w:val="21"/>
        </w:rPr>
        <w:t xml:space="preserve">-month periods unless either party gives </w:t>
      </w:r>
      <w:r>
        <w:rPr>
          <w:rFonts w:ascii="Calibri" w:cs="Calibri" w:eastAsia="Calibri" w:hAnsi="Calibri"/>
          <w:b/>
          <w:bCs/>
          <w:sz w:val="21"/>
          <w:szCs w:val="21"/>
        </w:rPr>
        <w:t xml:space="preserve">[60]</w:t>
      </w:r>
      <w:r>
        <w:rPr>
          <w:rFonts w:ascii="Calibri" w:cs="Calibri" w:eastAsia="Calibri" w:hAnsi="Calibri"/>
          <w:sz w:val="21"/>
          <w:szCs w:val="21"/>
        </w:rPr>
        <w:t xml:space="preserve"> days notice.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Either party may terminate immediately for material breach not remedied within </w:t>
      </w:r>
      <w:r>
        <w:rPr>
          <w:rFonts w:ascii="Calibri" w:cs="Calibri" w:eastAsia="Calibri" w:hAnsi="Calibri"/>
          <w:b/>
          <w:bCs/>
          <w:sz w:val="21"/>
          <w:szCs w:val="21"/>
        </w:rPr>
        <w:t xml:space="preserve">[14]</w:t>
      </w:r>
      <w:r>
        <w:rPr>
          <w:rFonts w:ascii="Calibri" w:cs="Calibri" w:eastAsia="Calibri" w:hAnsi="Calibri"/>
          <w:sz w:val="21"/>
          <w:szCs w:val="21"/>
        </w:rPr>
        <w:t xml:space="preserve"> days, or on insolvency.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Termination does not affect accepted orders, which shall be completed on these terms.</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Clauses 3.3, 6 and 8 survive termination.</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Each party shall comply with applicable anti-bribery, sanctions and export control requirements.</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Neither party is liable for failure caused by an event beyond its reasonable control, provided it notifies and mitigates.</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Neither party may assign without consent, save to a group company or on a sale of its business.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This agreement and accepted orders are the entire agreement.</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 with </w:t>
      </w:r>
      <w:r>
        <w:rPr>
          <w:rFonts w:ascii="Calibri" w:cs="Calibri" w:eastAsia="Calibri" w:hAnsi="Calibri"/>
          <w:b/>
          <w:bCs/>
          <w:sz w:val="21"/>
          <w:szCs w:val="21"/>
        </w:rPr>
        <w:t xml:space="preserve">[the courts of ______ / the DIFC Courts / arbitration]</w:t>
      </w:r>
      <w:r>
        <w:rPr>
          <w:rFonts w:ascii="Calibri" w:cs="Calibri" w:eastAsia="Calibri" w:hAnsi="Calibri"/>
          <w:sz w:val="21"/>
          <w:szCs w:val="21"/>
        </w:rPr>
        <w:t xml:space="preserve"> having jurisdiction.</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b/>
          <w:bCs/>
          <w:sz w:val="21"/>
          <w:szCs w:val="21"/>
        </w:rPr>
        <w:t xml:space="preserve">[Where bilingual]</w:t>
      </w:r>
      <w:r>
        <w:rPr>
          <w:rFonts w:ascii="Calibri" w:cs="Calibri" w:eastAsia="Calibri" w:hAnsi="Calibri"/>
          <w:sz w:val="21"/>
          <w:szCs w:val="21"/>
        </w:rPr>
        <w:t xml:space="preserve"> Executed in English and Arabic. </w:t>
      </w:r>
      <w:r>
        <w:rPr>
          <w:rFonts w:ascii="Calibri" w:cs="Calibri" w:eastAsia="Calibri" w:hAnsi="Calibri"/>
          <w:b/>
          <w:bCs/>
          <w:sz w:val="21"/>
          <w:szCs w:val="21"/>
        </w:rPr>
        <w:t xml:space="preserve">In the event of conflict the Arabic version prevails.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[SUPPLIER]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[BUYER]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Goods and Prices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313"/>
        <w:gridCol w:w="2505"/>
        <w:gridCol w:w="867"/>
        <w:gridCol w:w="1252"/>
        <w:gridCol w:w="1156"/>
        <w:gridCol w:w="1160"/>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Item</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Specification</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Unit</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 (AED)</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MOQ</w:t>
            </w:r>
          </w:p>
        </w:tc>
        <w:tc>
          <w:tcPr>
            <w:tcW w:type="dxa" w:w="11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Lead time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[UOM]</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[QTY]</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[UOM]</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[QTY]</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[UOM]</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[QTY]</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Supply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469"/>
        <w:gridCol w:w="4240"/>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Check</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Why it matters</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Confirmed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Is the delivery term stated with a named place and Incoterm edition?</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Determines carriage, insurance and clearance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Who is the importer of record?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Import VAT, duty, permits and product compliance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When does risk pass?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 insures, who bears loss in transit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When does title pass, and is retention of title workable here?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supplier’s protection on buyer failure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Are the goods stored separately and identifiably in practice?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Retention of title fails where mixed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 supplier licensed for these goods?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Trade licence activity must cover them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 buyer licensed to trade in them?</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Same question in reverse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Arabic labelling and conformity requirements met?</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Blocks clearance if not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VAT treatment clear, including designated zone movements?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Goods and services differ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this arrangement a </w:t>
            </w:r>
            <w:r>
              <w:rPr>
                <w:rFonts w:ascii="Calibri" w:cs="Calibri" w:eastAsia="Calibri" w:hAnsi="Calibri"/>
                <w:b/>
                <w:bCs/>
                <w:sz w:val="16"/>
                <w:szCs w:val="16"/>
              </w:rPr>
              <w:t xml:space="preserve">registered commercial agency</w:t>
            </w:r>
            <w:r>
              <w:rPr>
                <w:rFonts w:ascii="Calibri" w:cs="Calibri" w:eastAsia="Calibri" w:hAnsi="Calibri"/>
                <w:sz w:val="16"/>
                <w:szCs w:val="16"/>
              </w:rPr>
              <w:t xml:space="preserv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Statutory agent protections apply if so</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Are post-dated cheques being given, and are they tracked?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live liability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 liability cap proportionate to the potential loss?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Goods value may be a fraction of the damage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Settle the importer of record before the delivery term</w:t>
      </w:r>
    </w:p>
    <w:p>
      <w:pPr>
        <w:spacing w:after="60" w:line="264"/>
        <w:jc w:val="both"/>
      </w:pPr>
      <w:r>
        <w:rPr>
          <w:rFonts w:ascii="Calibri" w:cs="Calibri" w:eastAsia="Calibri" w:hAnsi="Calibri"/>
          <w:sz w:val="19"/>
          <w:szCs w:val="19"/>
        </w:rPr>
        <w:t xml:space="preserve">The importer bears customs clearance, duty, import VAT, permits and product compliance responsibility. A DDP term puts that on the supplier; Ex Works puts it entirely on the buyer. Businesses agree a price and an Incoterm without working out who is actually importing, and discover it at the port.</w:t>
      </w:r>
    </w:p>
    <w:p>
      <w:pPr>
        <w:keepNext/>
        <w:spacing w:after="40" w:before="140"/>
      </w:pPr>
      <w:r>
        <w:rPr>
          <w:rFonts w:ascii="Calibri" w:cs="Calibri" w:eastAsia="Calibri" w:hAnsi="Calibri"/>
          <w:b/>
          <w:bCs/>
          <w:color w:val="14161B"/>
          <w:sz w:val="20"/>
          <w:szCs w:val="20"/>
        </w:rPr>
        <w:t xml:space="preserve">Risk and title are different questions</w:t>
      </w:r>
    </w:p>
    <w:p>
      <w:pPr>
        <w:spacing w:after="60" w:line="264"/>
        <w:jc w:val="both"/>
      </w:pPr>
      <w:r>
        <w:rPr>
          <w:rFonts w:ascii="Calibri" w:cs="Calibri" w:eastAsia="Calibri" w:hAnsi="Calibri"/>
          <w:sz w:val="19"/>
          <w:szCs w:val="19"/>
        </w:rPr>
        <w:t xml:space="preserve">Risk determines who bears loss and therefore who insures. Title determines who owns the goods, which matters most if the other side fails. They commonly pass at different moments — risk on delivery, title on payment — and contracts addressing only one leave a real gap.</w:t>
      </w:r>
    </w:p>
    <w:p>
      <w:pPr>
        <w:keepNext/>
        <w:spacing w:after="40" w:before="140"/>
      </w:pPr>
      <w:r>
        <w:rPr>
          <w:rFonts w:ascii="Calibri" w:cs="Calibri" w:eastAsia="Calibri" w:hAnsi="Calibri"/>
          <w:b/>
          <w:bCs/>
          <w:color w:val="14161B"/>
          <w:sz w:val="20"/>
          <w:szCs w:val="20"/>
        </w:rPr>
        <w:t xml:space="preserve">Take advice on retention of title before relying on it</w:t>
      </w:r>
    </w:p>
    <w:p>
      <w:pPr>
        <w:spacing w:after="60" w:line="264"/>
        <w:jc w:val="both"/>
      </w:pPr>
      <w:r>
        <w:rPr>
          <w:rFonts w:ascii="Calibri" w:cs="Calibri" w:eastAsia="Calibri" w:hAnsi="Calibri"/>
          <w:sz w:val="19"/>
          <w:szCs w:val="19"/>
        </w:rPr>
        <w:t xml:space="preserve">A retention of title clause is the supplier’s main protection against buyer insolvency, and its practical enforceability depends on the goods remaining identifiable and separate and on how the relevant law treats the arrangement. Confirm the position in the UAE for your specific goods rather than assuming a clause imported from another jurisdiction will operate the same way.</w:t>
      </w:r>
    </w:p>
    <w:p>
      <w:pPr>
        <w:keepNext/>
        <w:spacing w:after="40" w:before="140"/>
      </w:pPr>
      <w:r>
        <w:rPr>
          <w:rFonts w:ascii="Calibri" w:cs="Calibri" w:eastAsia="Calibri" w:hAnsi="Calibri"/>
          <w:b/>
          <w:bCs/>
          <w:color w:val="14161B"/>
          <w:sz w:val="20"/>
          <w:szCs w:val="20"/>
        </w:rPr>
        <w:t xml:space="preserve">Check both parties are licensed for the goods</w:t>
      </w:r>
    </w:p>
    <w:p>
      <w:pPr>
        <w:spacing w:after="60" w:line="264"/>
        <w:jc w:val="both"/>
      </w:pPr>
      <w:r>
        <w:rPr>
          <w:rFonts w:ascii="Calibri" w:cs="Calibri" w:eastAsia="Calibri" w:hAnsi="Calibri"/>
          <w:sz w:val="19"/>
          <w:szCs w:val="19"/>
        </w:rPr>
        <w:t xml:space="preserve">A UAE company may only trade in what its licence covers. Supplying or buying goods outside the licensed activity exposes both sides and can cause customs and payment problems. Read the activity lists, not just the company names.</w:t>
      </w:r>
    </w:p>
    <w:p>
      <w:pPr>
        <w:keepNext/>
        <w:spacing w:after="40" w:before="140"/>
      </w:pPr>
      <w:r>
        <w:rPr>
          <w:rFonts w:ascii="Calibri" w:cs="Calibri" w:eastAsia="Calibri" w:hAnsi="Calibri"/>
          <w:b/>
          <w:bCs/>
          <w:color w:val="14161B"/>
          <w:sz w:val="20"/>
          <w:szCs w:val="20"/>
        </w:rPr>
        <w:t xml:space="preserve">Arabic labelling can stop a shipment</w:t>
      </w:r>
    </w:p>
    <w:p>
      <w:pPr>
        <w:spacing w:after="60" w:line="264"/>
        <w:jc w:val="both"/>
      </w:pPr>
      <w:r>
        <w:rPr>
          <w:rFonts w:ascii="Calibri" w:cs="Calibri" w:eastAsia="Calibri" w:hAnsi="Calibri"/>
          <w:sz w:val="19"/>
          <w:szCs w:val="19"/>
        </w:rPr>
        <w:t xml:space="preserve">Product labelling, marking and conformity requirements apply on import, and Arabic labelling is required for many categories. Non-compliant goods sit at the port. Confirm requirements for the specific product before the first shipment, not after.</w:t>
      </w:r>
    </w:p>
    <w:p>
      <w:pPr>
        <w:keepNext/>
        <w:spacing w:after="40" w:before="140"/>
      </w:pPr>
      <w:r>
        <w:rPr>
          <w:rFonts w:ascii="Calibri" w:cs="Calibri" w:eastAsia="Calibri" w:hAnsi="Calibri"/>
          <w:b/>
          <w:bCs/>
          <w:color w:val="14161B"/>
          <w:sz w:val="20"/>
          <w:szCs w:val="20"/>
        </w:rPr>
        <w:t xml:space="preserve">Designated zones affect goods, not services</w:t>
      </w:r>
    </w:p>
    <w:p>
      <w:pPr>
        <w:spacing w:after="60" w:line="264"/>
        <w:jc w:val="both"/>
      </w:pPr>
      <w:r>
        <w:rPr>
          <w:rFonts w:ascii="Calibri" w:cs="Calibri" w:eastAsia="Calibri" w:hAnsi="Calibri"/>
          <w:sz w:val="19"/>
          <w:szCs w:val="19"/>
        </w:rPr>
        <w:t xml:space="preserve">Movements within and between designated zones may fall outside the scope of VAT for goods in defined circumstances, and goods leaving for the mainland become subject to it. Services are standard rated regardless. Free zone parties routinely assume a broader exemption than exists.</w:t>
      </w:r>
    </w:p>
    <w:p>
      <w:pPr>
        <w:keepNext/>
        <w:spacing w:after="40" w:before="140"/>
      </w:pPr>
      <w:r>
        <w:rPr>
          <w:rFonts w:ascii="Calibri" w:cs="Calibri" w:eastAsia="Calibri" w:hAnsi="Calibri"/>
          <w:b/>
          <w:bCs/>
          <w:color w:val="14161B"/>
          <w:sz w:val="20"/>
          <w:szCs w:val="20"/>
        </w:rPr>
        <w:t xml:space="preserve">Ask whether this is a registered commercial agency</w:t>
      </w:r>
    </w:p>
    <w:p>
      <w:pPr>
        <w:spacing w:after="60" w:line="264"/>
        <w:jc w:val="both"/>
      </w:pPr>
      <w:r>
        <w:rPr>
          <w:rFonts w:ascii="Calibri" w:cs="Calibri" w:eastAsia="Calibri" w:hAnsi="Calibri"/>
          <w:sz w:val="19"/>
          <w:szCs w:val="19"/>
        </w:rPr>
        <w:t xml:space="preserve">If the arrangement is registered under the commercial agency regime, statutory protections attach — exclusivity, constrained termination, compensation, and the agent’s ability to block parallel imports. That is a fundamentally different relationship from an ordinary supply contract, and it is very hard to exit.</w:t>
      </w:r>
    </w:p>
    <w:p>
      <w:pPr>
        <w:keepNext/>
        <w:spacing w:after="40" w:before="140"/>
      </w:pPr>
      <w:r>
        <w:rPr>
          <w:rFonts w:ascii="Calibri" w:cs="Calibri" w:eastAsia="Calibri" w:hAnsi="Calibri"/>
          <w:b/>
          <w:bCs/>
          <w:color w:val="14161B"/>
          <w:sz w:val="20"/>
          <w:szCs w:val="20"/>
        </w:rPr>
        <w:t xml:space="preserve">Settle the battle of the forms once</w:t>
      </w:r>
    </w:p>
    <w:p>
      <w:pPr>
        <w:spacing w:after="60" w:line="264"/>
        <w:jc w:val="both"/>
      </w:pPr>
      <w:r>
        <w:rPr>
          <w:rFonts w:ascii="Calibri" w:cs="Calibri" w:eastAsia="Calibri" w:hAnsi="Calibri"/>
          <w:sz w:val="19"/>
          <w:szCs w:val="19"/>
        </w:rPr>
        <w:t xml:space="preserve">Where each side exchanges standard terms with orders and acknowledgements, which set governs is genuinely uncertain. Clause 1.3 excludes both. Without it, a signed framework agreement can be displaced by a purchase order footer.</w:t>
      </w:r>
    </w:p>
    <w:p>
      <w:pPr>
        <w:keepNext/>
        <w:spacing w:after="40" w:before="140"/>
      </w:pPr>
      <w:r>
        <w:rPr>
          <w:rFonts w:ascii="Calibri" w:cs="Calibri" w:eastAsia="Calibri" w:hAnsi="Calibri"/>
          <w:b/>
          <w:bCs/>
          <w:color w:val="14161B"/>
          <w:sz w:val="20"/>
          <w:szCs w:val="20"/>
        </w:rPr>
        <w:t xml:space="preserve">Watch the liability cap against real exposure</w:t>
      </w:r>
    </w:p>
    <w:p>
      <w:pPr>
        <w:spacing w:after="60" w:line="264"/>
        <w:jc w:val="both"/>
      </w:pPr>
      <w:r>
        <w:rPr>
          <w:rFonts w:ascii="Calibri" w:cs="Calibri" w:eastAsia="Calibri" w:hAnsi="Calibri"/>
          <w:sz w:val="19"/>
          <w:szCs w:val="19"/>
        </w:rPr>
        <w:t xml:space="preserve">For goods feeding a production line or incorporated into a product sold on, the loss from a defect can be many multiples of their price. A cap at the price of the goods is common and transfers most of the risk to the buyer — notice it before signing.</w:t>
      </w:r>
    </w:p>
    <w:p>
      <w:pPr>
        <w:keepNext/>
        <w:spacing w:after="40" w:before="140"/>
      </w:pPr>
      <w:r>
        <w:rPr>
          <w:rFonts w:ascii="Calibri" w:cs="Calibri" w:eastAsia="Calibri" w:hAnsi="Calibri"/>
          <w:b/>
          <w:bCs/>
          <w:color w:val="14161B"/>
          <w:sz w:val="20"/>
          <w:szCs w:val="20"/>
        </w:rPr>
        <w:t xml:space="preserve">Make inspection periods realistic</w:t>
      </w:r>
    </w:p>
    <w:p>
      <w:pPr>
        <w:spacing w:after="60" w:line="264"/>
        <w:jc w:val="both"/>
      </w:pPr>
      <w:r>
        <w:rPr>
          <w:rFonts w:ascii="Calibri" w:cs="Calibri" w:eastAsia="Calibri" w:hAnsi="Calibri"/>
          <w:sz w:val="19"/>
          <w:szCs w:val="19"/>
        </w:rPr>
        <w:t xml:space="preserve">A short window works for visible damage and shortage but not for latent defects, which is why Clause 5.2 provides separately. Too short and the buyer has no remedy for defects it could not have found; too long and the supplier is exposed indefinitely.</w:t>
      </w:r>
    </w:p>
    <w:p>
      <w:pPr>
        <w:keepNext/>
        <w:spacing w:after="40" w:before="140"/>
      </w:pPr>
      <w:r>
        <w:rPr>
          <w:rFonts w:ascii="Calibri" w:cs="Calibri" w:eastAsia="Calibri" w:hAnsi="Calibri"/>
          <w:b/>
          <w:bCs/>
          <w:color w:val="14161B"/>
          <w:sz w:val="20"/>
          <w:szCs w:val="20"/>
        </w:rPr>
        <w:t xml:space="preserve">Track post-dated cheques on both sides</w:t>
      </w:r>
    </w:p>
    <w:p>
      <w:pPr>
        <w:spacing w:after="60" w:line="264"/>
        <w:jc w:val="both"/>
      </w:pPr>
      <w:r>
        <w:rPr>
          <w:rFonts w:ascii="Calibri" w:cs="Calibri" w:eastAsia="Calibri" w:hAnsi="Calibri"/>
          <w:sz w:val="19"/>
          <w:szCs w:val="19"/>
        </w:rPr>
        <w:t xml:space="preserve">Cheques given for supply are a live liability until presented or returned. The treatment of dishonoured cheques changed materially in 2022 — confirm the current enforcement position rather than relying on the older criminal assumption or a vague sense that it no longer matters.</w:t>
      </w:r>
    </w:p>
    <w:p>
      <w:pPr>
        <w:keepNext/>
        <w:spacing w:after="40" w:before="140"/>
      </w:pPr>
      <w:r>
        <w:rPr>
          <w:rFonts w:ascii="Calibri" w:cs="Calibri" w:eastAsia="Calibri" w:hAnsi="Calibri"/>
          <w:b/>
          <w:bCs/>
          <w:color w:val="14161B"/>
          <w:sz w:val="20"/>
          <w:szCs w:val="20"/>
        </w:rPr>
        <w:t xml:space="preserve">Check the insurance, not the clause</w:t>
      </w:r>
    </w:p>
    <w:p>
      <w:pPr>
        <w:spacing w:after="60" w:line="264"/>
        <w:jc w:val="both"/>
      </w:pPr>
      <w:r>
        <w:rPr>
          <w:rFonts w:ascii="Calibri" w:cs="Calibri" w:eastAsia="Calibri" w:hAnsi="Calibri"/>
          <w:sz w:val="19"/>
          <w:szCs w:val="19"/>
        </w:rPr>
        <w:t xml:space="preserve">Clause 6.6 requires evidence on request. Request it, and check the product liability limit against the realistic exposure and whether the policy responds in the UAE.</w:t>
      </w:r>
    </w:p>
    <w:p>
      <w:pPr>
        <w:keepNext/>
        <w:spacing w:after="40" w:before="140"/>
      </w:pPr>
      <w:r>
        <w:rPr>
          <w:rFonts w:ascii="Calibri" w:cs="Calibri" w:eastAsia="Calibri" w:hAnsi="Calibri"/>
          <w:b/>
          <w:bCs/>
          <w:color w:val="14161B"/>
          <w:sz w:val="20"/>
          <w:szCs w:val="20"/>
        </w:rPr>
        <w:t xml:space="preserve">Suspension beats termination for non-payment</w:t>
      </w:r>
    </w:p>
    <w:p>
      <w:pPr>
        <w:spacing w:after="60" w:line="264"/>
        <w:jc w:val="both"/>
      </w:pPr>
      <w:r>
        <w:rPr>
          <w:rFonts w:ascii="Calibri" w:cs="Calibri" w:eastAsia="Calibri" w:hAnsi="Calibri"/>
          <w:sz w:val="19"/>
          <w:szCs w:val="19"/>
        </w:rPr>
        <w:t xml:space="preserve">Stopping deliveries preserves the relationship and the receivable while creating immediate pressure. Terminating ends both. Clause 2.5 gives the supplier the more useful remedy.</w:t>
      </w:r>
    </w:p>
    <w:p>
      <w:pPr>
        <w:keepNext/>
        <w:spacing w:after="40" w:before="140"/>
      </w:pPr>
      <w:r>
        <w:rPr>
          <w:rFonts w:ascii="Calibri" w:cs="Calibri" w:eastAsia="Calibri" w:hAnsi="Calibri"/>
          <w:b/>
          <w:bCs/>
          <w:color w:val="14161B"/>
          <w:sz w:val="20"/>
          <w:szCs w:val="20"/>
        </w:rPr>
        <w:t xml:space="preserve">Decide the forum deliberately</w:t>
      </w:r>
    </w:p>
    <w:p>
      <w:pPr>
        <w:spacing w:after="60" w:line="264"/>
        <w:jc w:val="both"/>
      </w:pPr>
      <w:r>
        <w:rPr>
          <w:rFonts w:ascii="Calibri" w:cs="Calibri" w:eastAsia="Calibri" w:hAnsi="Calibri"/>
          <w:sz w:val="19"/>
          <w:szCs w:val="19"/>
        </w:rPr>
        <w:t xml:space="preserve">Onshore courts operate in Arabic with translated documents; DIFC, ADGM and arbitration offer English-language procedure. For a goods dispute involving technical specifications and expert evidence, that difference is substantial.</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Customs, import VAT, designated zone treatment, product standards and labelling requirements, commercial agency rules and the enforcement of dishonoured cheques all change — take UAE legal advice on any material supply arrangement, and specifically on retention of title and agency registration.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2026-08-23T16:28:34.783Z</dcterms:created>
  <dcterms:modified xsi:type="dcterms:W3CDTF">2026-08-23T16:28:34.783Z</dcterms:modified>
</cp:coreProperties>
</file>

<file path=docProps/custom.xml><?xml version="1.0" encoding="utf-8"?>
<Properties xmlns="http://schemas.openxmlformats.org/officeDocument/2006/custom-properties" xmlns:vt="http://schemas.openxmlformats.org/officeDocument/2006/docPropsVTypes"/>
</file>