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SPONSORING FAMILY</w:t>
      </w:r>
    </w:p>
    <w:p>
      <w:pPr>
        <w:spacing w:after="260"/>
        <w:jc w:val="center"/>
      </w:pPr>
      <w:r>
        <w:rPr>
          <w:rFonts w:ascii="Calibri" w:cs="Calibri" w:eastAsia="Calibri" w:hAnsi="Calibri"/>
          <w:i/>
          <w:iCs/>
          <w:color w:val="6E7480"/>
          <w:sz w:val="19"/>
          <w:szCs w:val="19"/>
        </w:rPr>
        <w:t xml:space="preserve">Dependant visas and what employers should know</w:t>
      </w:r>
    </w:p>
    <w:p>
      <w:pPr>
        <w:spacing w:after="180" w:before="0" w:line="276"/>
        <w:jc w:val="both"/>
      </w:pPr>
      <w:r>
        <w:rPr>
          <w:rFonts w:ascii="Calibri" w:cs="Calibri" w:eastAsia="Calibri" w:hAnsi="Calibri"/>
          <w:i/>
          <w:iCs/>
          <w:color w:val="6E7480"/>
          <w:sz w:val="21"/>
          <w:szCs w:val="21"/>
        </w:rPr>
        <w:t xml:space="preserve">Family sponsorship is the </w:t>
      </w:r>
      <w:r>
        <w:rPr>
          <w:rFonts w:ascii="Calibri" w:cs="Calibri" w:eastAsia="Calibri" w:hAnsi="Calibri"/>
          <w:b/>
          <w:bCs/>
          <w:i/>
          <w:iCs/>
          <w:color w:val="6E7480"/>
          <w:sz w:val="21"/>
          <w:szCs w:val="21"/>
        </w:rPr>
        <w:t xml:space="preserve">employee’s</w:t>
      </w:r>
      <w:r>
        <w:rPr>
          <w:rFonts w:ascii="Calibri" w:cs="Calibri" w:eastAsia="Calibri" w:hAnsi="Calibri"/>
          <w:i/>
          <w:iCs/>
          <w:color w:val="6E7480"/>
          <w:sz w:val="21"/>
          <w:szCs w:val="21"/>
        </w:rPr>
        <w:t xml:space="preserve"> responsibility, not the employer’s — but the employer controls the two things it depends on: the </w:t>
      </w:r>
      <w:r>
        <w:rPr>
          <w:rFonts w:ascii="Calibri" w:cs="Calibri" w:eastAsia="Calibri" w:hAnsi="Calibri"/>
          <w:b/>
          <w:bCs/>
          <w:i/>
          <w:iCs/>
          <w:color w:val="6E7480"/>
          <w:sz w:val="21"/>
          <w:szCs w:val="21"/>
        </w:rPr>
        <w:t xml:space="preserve">salary certificate</w:t>
      </w:r>
      <w:r>
        <w:rPr>
          <w:rFonts w:ascii="Calibri" w:cs="Calibri" w:eastAsia="Calibri" w:hAnsi="Calibri"/>
          <w:i/>
          <w:iCs/>
          <w:color w:val="6E7480"/>
          <w:sz w:val="21"/>
          <w:szCs w:val="21"/>
        </w:rPr>
        <w:t xml:space="preserve"> and the employee’s own residence status. When an employee leaves, their dependants’ visas fall with theirs, and that is rarely explained in time.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Sponsor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NAME]</w:t>
            </w:r>
            <w:r>
              <w:rPr>
                <w:rFonts w:ascii="Calibri" w:cs="Calibri" w:eastAsia="Calibri" w:hAnsi="Calibri"/>
                <w:sz w:val="19"/>
                <w:szCs w:val="19"/>
              </w:rPr>
              <w:t xml:space="preserve">, </w:t>
            </w:r>
            <w:r>
              <w:rPr>
                <w:rFonts w:ascii="Calibri" w:cs="Calibri" w:eastAsia="Calibri" w:hAnsi="Calibri"/>
                <w:b/>
                <w:bCs/>
                <w:sz w:val="19"/>
                <w:szCs w:val="19"/>
              </w:rPr>
              <w:t xml:space="preserve">[Emirates ID]</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Emirate of residence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Sponsor’s salary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 basic </w:t>
            </w: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Meets the salary threshold?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confirm the current threshold]</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Accommodation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[Tenancy registered — Ejari or equivalent]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Dependants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 WITH RELATIONSHIPS AND AGES]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Documents attested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[Marriage certificate, birth certificates — dates]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Health insurance for dependants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[Whose obligation — confirm for the emirate]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Application through</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[ICP / GDRFA / free zone]</w:t>
            </w:r>
          </w:p>
        </w:tc>
      </w:tr>
    </w:tbl>
    <w:p>
      <w:pPr>
        <w:spacing w:after="180"/>
      </w:pPr>
    </w:p>
    <w:p>
      <w:pPr>
        <w:keepNext/>
        <w:spacing w:after="120" w:before="280"/>
        <w:outlineLvl w:val="0"/>
      </w:pPr>
      <w:r>
        <w:rPr>
          <w:rFonts w:ascii="Calibri" w:cs="Calibri" w:eastAsia="Calibri" w:hAnsi="Calibri"/>
          <w:b/>
          <w:bCs/>
          <w:color w:val="14161B"/>
          <w:sz w:val="22"/>
          <w:szCs w:val="22"/>
        </w:rPr>
        <w:t xml:space="preserve">1. WHO CAN SPONSOR WHOM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Dependant</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 position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Spouse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Sponsorable; attested marriage certificate required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Sons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the prescribed age; beyond that, </w:t>
            </w:r>
            <w:r>
              <w:rPr>
                <w:rFonts w:ascii="Calibri" w:cs="Calibri" w:eastAsia="Calibri" w:hAnsi="Calibri"/>
                <w:b/>
                <w:bCs/>
                <w:sz w:val="18"/>
                <w:szCs w:val="18"/>
              </w:rPr>
              <w:t xml:space="preserve">[if studying — confirm]</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Daughters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[Generally while unmarried — confirm the current rule]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Parents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[Possible, typically with a higher salary threshold and conditions]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[Domestic worker]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Separate route with its own requirements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relatives]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[Case by case — confirm]</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Female employee sponsoring a husband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Permitted</w:t>
            </w:r>
            <w:r>
              <w:rPr>
                <w:rFonts w:ascii="Calibri" w:cs="Calibri" w:eastAsia="Calibri" w:hAnsi="Calibri"/>
                <w:sz w:val="18"/>
                <w:szCs w:val="18"/>
              </w:rPr>
              <w:t xml:space="preserve"> — conditions may differ; confirm</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Golden or Green Visa holder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Generally longer-term family sponsorship</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Salary thresholds, age limits and conditions differ by emirate and change.</w:t>
      </w:r>
      <w:r>
        <w:rPr>
          <w:rFonts w:ascii="Calibri" w:cs="Calibri" w:eastAsia="Calibri" w:hAnsi="Calibri"/>
          <w:sz w:val="21"/>
          <w:szCs w:val="21"/>
        </w:rPr>
        <w:t xml:space="preserve"> Confirm with ICP or GDRFA for the specific emirate before advising an employee — getting this wrong raises expectations that then have to be withdrawn.</w:t>
      </w:r>
    </w:p>
    <w:p>
      <w:pPr>
        <w:keepNext/>
        <w:spacing w:after="120" w:before="280"/>
        <w:outlineLvl w:val="0"/>
      </w:pPr>
      <w:r>
        <w:rPr>
          <w:rFonts w:ascii="Calibri" w:cs="Calibri" w:eastAsia="Calibri" w:hAnsi="Calibri"/>
          <w:b/>
          <w:bCs/>
          <w:color w:val="14161B"/>
          <w:sz w:val="22"/>
          <w:szCs w:val="22"/>
        </w:rPr>
        <w:t xml:space="preserve">2. WHAT THE EMPLOYER ACTUALLY DOES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employer</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employee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Issues an accurate </w:t>
            </w:r>
            <w:r>
              <w:rPr>
                <w:rFonts w:ascii="Calibri" w:cs="Calibri" w:eastAsia="Calibri" w:hAnsi="Calibri"/>
                <w:b/>
                <w:bCs/>
                <w:sz w:val="18"/>
                <w:szCs w:val="18"/>
              </w:rPr>
              <w:t xml:space="preserve">salary certificate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Applies for and pays for the dependant visas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Provides the labour contract copy</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Provides attested marriage and birth certificates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Confirms the employee’s residence status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Provides registered tenancy</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[Issues an NOC where required]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Arranges medicals and Emirates IDs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[Assists with PRO services]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Arranges health insurance where it is their obligation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Explains what happens on departure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Maintains the dependants’ renewals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Does not pay for it unless it chooses to</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Bears the cost</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The salary certificate must state the salary registered with MOHRE and paid through WPS.</w:t>
      </w:r>
      <w:r>
        <w:rPr>
          <w:rFonts w:ascii="Calibri" w:cs="Calibri" w:eastAsia="Calibri" w:hAnsi="Calibri"/>
          <w:sz w:val="21"/>
          <w:szCs w:val="21"/>
        </w:rPr>
        <w:t xml:space="preserve"> Inflating it so an employee clears the sponsorship threshold is a false statement by the employer, contradicted by its own filings, and it is precisely the document an authority can check.</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This is where employers come under real pressure. The request is sympathetic — someone wants their family with them and is just short of the threshold. The answer is still no, and it should be a policy so individual managers are not put in that position.</w:t>
      </w:r>
    </w:p>
    <w:p>
      <w:pPr>
        <w:keepNext/>
        <w:spacing w:after="120" w:before="280"/>
        <w:outlineLvl w:val="0"/>
      </w:pPr>
      <w:r>
        <w:rPr>
          <w:rFonts w:ascii="Calibri" w:cs="Calibri" w:eastAsia="Calibri" w:hAnsi="Calibri"/>
          <w:b/>
          <w:bCs/>
          <w:color w:val="14161B"/>
          <w:sz w:val="22"/>
          <w:szCs w:val="22"/>
        </w:rPr>
        <w:t xml:space="preserve">3. REQUIREMENTS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469"/>
        <w:gridCol w:w="4240"/>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Held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Sponsor holds a valid residence visa</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Everything follows from this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Salary meets the threshold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Differs by emirate and dependant type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certificate from the employer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Matching MOHRE and WPS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Attested marriage certificate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Attested, legalised, translated — </w:t>
            </w:r>
            <w:r>
              <w:rPr>
                <w:rFonts w:ascii="Calibri" w:cs="Calibri" w:eastAsia="Calibri" w:hAnsi="Calibri"/>
                <w:b/>
                <w:bCs/>
                <w:sz w:val="17"/>
                <w:szCs w:val="17"/>
              </w:rPr>
              <w:t xml:space="preserve">weeks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Attested birth certificates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chain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Registered tenancy contract</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Ejari or equivalent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Accommodation adequate for the family</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[Room requirements may apply]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Entry permits obtained</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Medical fitness tests completed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those over the prescribed age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Emirates ID applications</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Health insurance in place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for the visa</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Residence visas issued and stamped</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Attestation is the long pole.</w:t>
      </w:r>
      <w:r>
        <w:rPr>
          <w:rFonts w:ascii="Calibri" w:cs="Calibri" w:eastAsia="Calibri" w:hAnsi="Calibri"/>
          <w:sz w:val="21"/>
          <w:szCs w:val="21"/>
        </w:rPr>
        <w:t xml:space="preserve"> Marriage and birth certificates need attestation in the country of issue, legalisation through the UAE embassy, attestation by the Ministry of Foreign Affairs, and legal translation. Three to six weeks. Tell new hires to start it before they relocate.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WHEN THE EMPLOYEE LEAVES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Dependants’ visas are sponsored by the employee, and they fall when the employee’s residence is cancelled.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Employee’s entitlements settled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14 days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Employee’s work permit cancelled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settlement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Dependants’ visas cancelled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before or with the sponsor’s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Grace period explained — for the whole family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just the employee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Employee’s residence visa cancelled</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insurance ends on the correct date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dependants too</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School and tenancy arrangements considered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Practical, not legal — but real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employee has a new job, transfer sequenced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Dependants re-sponsored after</w:t>
            </w:r>
          </w:p>
        </w:tc>
      </w:tr>
    </w:tbl>
    <w:p>
      <w:pPr>
        <w:spacing w:after="140"/>
      </w:pP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Tell the employee about the family position at notice, not at cancellation.</w:t>
      </w:r>
      <w:r>
        <w:rPr>
          <w:rFonts w:ascii="Calibri" w:cs="Calibri" w:eastAsia="Calibri" w:hAnsi="Calibri"/>
          <w:sz w:val="21"/>
          <w:szCs w:val="21"/>
        </w:rPr>
        <w:t xml:space="preserve"> A person given 30 days notice who does not realise their children’s visas end with theirs has no time to plan schooling, housing or departure.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i/>
          <w:iCs/>
          <w:sz w:val="21"/>
          <w:szCs w:val="21"/>
        </w:rPr>
        <w:t xml:space="preserve">This is the single most valuable thing an employer can do here, and it costs one conversation. It is also the omission most resented afterwards.</w:t>
      </w:r>
    </w:p>
    <w:p>
      <w:pPr>
        <w:keepNext/>
        <w:spacing w:after="120" w:before="280"/>
        <w:outlineLvl w:val="0"/>
      </w:pPr>
      <w:r>
        <w:rPr>
          <w:rFonts w:ascii="Calibri" w:cs="Calibri" w:eastAsia="Calibri" w:hAnsi="Calibri"/>
          <w:b/>
          <w:bCs/>
          <w:color w:val="14161B"/>
          <w:sz w:val="22"/>
          <w:szCs w:val="22"/>
        </w:rPr>
        <w:t xml:space="preserve">5. EMPLOYER POINTS TO GET RIGHT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5398"/>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Point</w:t>
            </w:r>
          </w:p>
        </w:tc>
        <w:tc>
          <w:tcPr>
            <w:tcW w:type="dxa" w:w="53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Never inflate a salary certificate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false statement against your own filings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Issue certificates promptly</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Delay can cost a school place or a tenancy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Nominate one issuer with a template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Prevents inconsistent figures between employees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State the purpose on the certificate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Limits reuse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Explain the sponsorship threshold at offer stage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candidate relocating a family needs to know before accepting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Tell new hires to start attestation early</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Weeks, and it blocks everything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 clear whose obligation dependant insurance is</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Varies by emirate; affects the package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Treat family data as personal data</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You will hold certificates and IDs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Explain the departure position at notice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whole family is affected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Apply the same approach to everyone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Discretion here is quickly noticed</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Point 5 matters more than it appears. A candidate weighing an offer needs to know whether the package supports bringing their family, and finding out afterwards that it does not is a genuine grievance and a common early resignation.</w:t>
      </w:r>
    </w:p>
    <w:p>
      <w:pPr>
        <w:keepNext/>
        <w:spacing w:after="120" w:before="280"/>
        <w:outlineLvl w:val="0"/>
      </w:pPr>
      <w:r>
        <w:rPr>
          <w:rFonts w:ascii="Calibri" w:cs="Calibri" w:eastAsia="Calibri" w:hAnsi="Calibri"/>
          <w:b/>
          <w:bCs/>
          <w:color w:val="14161B"/>
          <w:sz w:val="22"/>
          <w:szCs w:val="22"/>
        </w:rPr>
        <w:t xml:space="preserve">6. DATA</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Marriage certificates, birth certificates, dependants’ passports and Emirates IDs are </w:t>
      </w:r>
      <w:r>
        <w:rPr>
          <w:rFonts w:ascii="Calibri" w:cs="Calibri" w:eastAsia="Calibri" w:hAnsi="Calibri"/>
          <w:b/>
          <w:bCs/>
          <w:sz w:val="21"/>
          <w:szCs w:val="21"/>
        </w:rPr>
        <w:t xml:space="preserve">personal data about people who are not your employees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Collect only what is needed, restrict access, retain no longer than necessary, and cover it in the </w:t>
      </w:r>
      <w:r>
        <w:rPr>
          <w:rFonts w:ascii="Calibri" w:cs="Calibri" w:eastAsia="Calibri" w:hAnsi="Calibri"/>
          <w:b/>
          <w:bCs/>
          <w:sz w:val="21"/>
          <w:szCs w:val="21"/>
        </w:rPr>
        <w:t xml:space="preserve">employee privacy notice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Delete dependant documentation when it is no longer required — it has no continuing purpose once the employment ends.</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Sponsorship is the employee’s, but you control the inputs</w:t>
      </w:r>
    </w:p>
    <w:p>
      <w:pPr>
        <w:spacing w:after="60" w:line="264"/>
        <w:jc w:val="both"/>
      </w:pPr>
      <w:r>
        <w:rPr>
          <w:rFonts w:ascii="Calibri" w:cs="Calibri" w:eastAsia="Calibri" w:hAnsi="Calibri"/>
          <w:sz w:val="19"/>
          <w:szCs w:val="19"/>
        </w:rPr>
        <w:t xml:space="preserve">The employee sponsors and pays for their dependants. The employer controls the salary certificate and the employee’s own residence status, which are the two things the whole arrangement rests on. That makes accuracy and timeliness genuinely important.</w:t>
      </w:r>
    </w:p>
    <w:p>
      <w:pPr>
        <w:keepNext/>
        <w:spacing w:after="40" w:before="140"/>
      </w:pPr>
      <w:r>
        <w:rPr>
          <w:rFonts w:ascii="Calibri" w:cs="Calibri" w:eastAsia="Calibri" w:hAnsi="Calibri"/>
          <w:b/>
          <w:bCs/>
          <w:color w:val="14161B"/>
          <w:sz w:val="20"/>
          <w:szCs w:val="20"/>
        </w:rPr>
        <w:t xml:space="preserve">Never inflate a salary certificate</w:t>
      </w:r>
    </w:p>
    <w:p>
      <w:pPr>
        <w:spacing w:after="60" w:line="264"/>
        <w:jc w:val="both"/>
      </w:pPr>
      <w:r>
        <w:rPr>
          <w:rFonts w:ascii="Calibri" w:cs="Calibri" w:eastAsia="Calibri" w:hAnsi="Calibri"/>
          <w:sz w:val="19"/>
          <w:szCs w:val="19"/>
        </w:rPr>
        <w:t xml:space="preserve">The certificate must match the salary registered with MOHRE and paid through WPS. Inflating it so an employee clears a sponsorship threshold is a false statement contradicted by your own filings. Make it a policy so individual managers are not put under that pressure.</w:t>
      </w:r>
    </w:p>
    <w:p>
      <w:pPr>
        <w:keepNext/>
        <w:spacing w:after="40" w:before="140"/>
      </w:pPr>
      <w:r>
        <w:rPr>
          <w:rFonts w:ascii="Calibri" w:cs="Calibri" w:eastAsia="Calibri" w:hAnsi="Calibri"/>
          <w:b/>
          <w:bCs/>
          <w:color w:val="14161B"/>
          <w:sz w:val="20"/>
          <w:szCs w:val="20"/>
        </w:rPr>
        <w:t xml:space="preserve">Confirm thresholds for the emirate</w:t>
      </w:r>
    </w:p>
    <w:p>
      <w:pPr>
        <w:spacing w:after="60" w:line="264"/>
        <w:jc w:val="both"/>
      </w:pPr>
      <w:r>
        <w:rPr>
          <w:rFonts w:ascii="Calibri" w:cs="Calibri" w:eastAsia="Calibri" w:hAnsi="Calibri"/>
          <w:sz w:val="19"/>
          <w:szCs w:val="19"/>
        </w:rPr>
        <w:t xml:space="preserve">Salary thresholds, age limits and conditions for spouses, sons, daughters and parents differ by emirate and change. Advising from a remembered figure raises expectations that then have to be withdrawn.</w:t>
      </w:r>
    </w:p>
    <w:p>
      <w:pPr>
        <w:keepNext/>
        <w:spacing w:after="40" w:before="140"/>
      </w:pPr>
      <w:r>
        <w:rPr>
          <w:rFonts w:ascii="Calibri" w:cs="Calibri" w:eastAsia="Calibri" w:hAnsi="Calibri"/>
          <w:b/>
          <w:bCs/>
          <w:color w:val="14161B"/>
          <w:sz w:val="20"/>
          <w:szCs w:val="20"/>
        </w:rPr>
        <w:t xml:space="preserve">Attestation blocks everything — start it early</w:t>
      </w:r>
    </w:p>
    <w:p>
      <w:pPr>
        <w:spacing w:after="60" w:line="264"/>
        <w:jc w:val="both"/>
      </w:pPr>
      <w:r>
        <w:rPr>
          <w:rFonts w:ascii="Calibri" w:cs="Calibri" w:eastAsia="Calibri" w:hAnsi="Calibri"/>
          <w:sz w:val="19"/>
          <w:szCs w:val="19"/>
        </w:rPr>
        <w:t xml:space="preserve">Marriage and birth certificates need attestation in the country of issue, embassy legalisation, Ministry of Foreign Affairs attestation and legal translation. Three to six weeks. Tell new hires to begin before they relocate, not after they arrive.</w:t>
      </w:r>
    </w:p>
    <w:p>
      <w:pPr>
        <w:keepNext/>
        <w:spacing w:after="40" w:before="140"/>
      </w:pPr>
      <w:r>
        <w:rPr>
          <w:rFonts w:ascii="Calibri" w:cs="Calibri" w:eastAsia="Calibri" w:hAnsi="Calibri"/>
          <w:b/>
          <w:bCs/>
          <w:color w:val="14161B"/>
          <w:sz w:val="20"/>
          <w:szCs w:val="20"/>
        </w:rPr>
        <w:t xml:space="preserve">Explain the threshold at offer stage</w:t>
      </w:r>
    </w:p>
    <w:p>
      <w:pPr>
        <w:spacing w:after="60" w:line="264"/>
        <w:jc w:val="both"/>
      </w:pPr>
      <w:r>
        <w:rPr>
          <w:rFonts w:ascii="Calibri" w:cs="Calibri" w:eastAsia="Calibri" w:hAnsi="Calibri"/>
          <w:sz w:val="19"/>
          <w:szCs w:val="19"/>
        </w:rPr>
        <w:t xml:space="preserve">A candidate relocating a family needs to know whether the package supports bringing them. Discovering afterwards that it does not is a genuine grievance and a common cause of early resignation, after the employer has paid the permit and relocation cost.</w:t>
      </w:r>
    </w:p>
    <w:p>
      <w:pPr>
        <w:keepNext/>
        <w:spacing w:after="40" w:before="140"/>
      </w:pPr>
      <w:r>
        <w:rPr>
          <w:rFonts w:ascii="Calibri" w:cs="Calibri" w:eastAsia="Calibri" w:hAnsi="Calibri"/>
          <w:b/>
          <w:bCs/>
          <w:color w:val="14161B"/>
          <w:sz w:val="20"/>
          <w:szCs w:val="20"/>
        </w:rPr>
        <w:t xml:space="preserve">Dependants’ visas fall with the sponsor’s</w:t>
      </w:r>
    </w:p>
    <w:p>
      <w:pPr>
        <w:spacing w:after="60" w:line="264"/>
        <w:jc w:val="both"/>
      </w:pPr>
      <w:r>
        <w:rPr>
          <w:rFonts w:ascii="Calibri" w:cs="Calibri" w:eastAsia="Calibri" w:hAnsi="Calibri"/>
          <w:sz w:val="19"/>
          <w:szCs w:val="19"/>
        </w:rPr>
        <w:t xml:space="preserve">When an employee leaves and their residence is cancelled, their family’s visas go too. This is the single most consequential fact in the document and the one most often not explained.</w:t>
      </w:r>
    </w:p>
    <w:p>
      <w:pPr>
        <w:keepNext/>
        <w:spacing w:after="40" w:before="140"/>
      </w:pPr>
      <w:r>
        <w:rPr>
          <w:rFonts w:ascii="Calibri" w:cs="Calibri" w:eastAsia="Calibri" w:hAnsi="Calibri"/>
          <w:b/>
          <w:bCs/>
          <w:color w:val="14161B"/>
          <w:sz w:val="20"/>
          <w:szCs w:val="20"/>
        </w:rPr>
        <w:t xml:space="preserve">Tell the employee at notice, not at cancellation</w:t>
      </w:r>
    </w:p>
    <w:p>
      <w:pPr>
        <w:spacing w:after="60" w:line="264"/>
        <w:jc w:val="both"/>
      </w:pPr>
      <w:r>
        <w:rPr>
          <w:rFonts w:ascii="Calibri" w:cs="Calibri" w:eastAsia="Calibri" w:hAnsi="Calibri"/>
          <w:sz w:val="19"/>
          <w:szCs w:val="19"/>
        </w:rPr>
        <w:t xml:space="preserve">Someone on 30 days notice who does not realise their children’s visas end with theirs has no time to plan schooling, housing or departure. One conversation, at the right moment, and it is the omission most resented afterwards.</w:t>
      </w:r>
    </w:p>
    <w:p>
      <w:pPr>
        <w:keepNext/>
        <w:spacing w:after="40" w:before="140"/>
      </w:pPr>
      <w:r>
        <w:rPr>
          <w:rFonts w:ascii="Calibri" w:cs="Calibri" w:eastAsia="Calibri" w:hAnsi="Calibri"/>
          <w:b/>
          <w:bCs/>
          <w:color w:val="14161B"/>
          <w:sz w:val="20"/>
          <w:szCs w:val="20"/>
        </w:rPr>
        <w:t xml:space="preserve">Sequence a transfer to a new employer carefully</w:t>
      </w:r>
    </w:p>
    <w:p>
      <w:pPr>
        <w:spacing w:after="60" w:line="264"/>
        <w:jc w:val="both"/>
      </w:pPr>
      <w:r>
        <w:rPr>
          <w:rFonts w:ascii="Calibri" w:cs="Calibri" w:eastAsia="Calibri" w:hAnsi="Calibri"/>
          <w:sz w:val="19"/>
          <w:szCs w:val="19"/>
        </w:rPr>
        <w:t xml:space="preserve">Where the employee is moving to another UAE job, their own status transfers first and dependants are re-sponsored after. Getting the order wrong can leave the family without status while the employee is fine.</w:t>
      </w:r>
    </w:p>
    <w:p>
      <w:pPr>
        <w:keepNext/>
        <w:spacing w:after="40" w:before="140"/>
      </w:pPr>
      <w:r>
        <w:rPr>
          <w:rFonts w:ascii="Calibri" w:cs="Calibri" w:eastAsia="Calibri" w:hAnsi="Calibri"/>
          <w:b/>
          <w:bCs/>
          <w:color w:val="14161B"/>
          <w:sz w:val="20"/>
          <w:szCs w:val="20"/>
        </w:rPr>
        <w:t xml:space="preserve">Confirm whose obligation dependant health insurance is</w:t>
      </w:r>
    </w:p>
    <w:p>
      <w:pPr>
        <w:spacing w:after="60" w:line="264"/>
        <w:jc w:val="both"/>
      </w:pPr>
      <w:r>
        <w:rPr>
          <w:rFonts w:ascii="Calibri" w:cs="Calibri" w:eastAsia="Calibri" w:hAnsi="Calibri"/>
          <w:sz w:val="19"/>
          <w:szCs w:val="19"/>
        </w:rPr>
        <w:t xml:space="preserve">It varies by emirate — employer or sponsoring employee. It materially affects the cost of hiring someone with a family and should be settled before the offer, not discovered at enrolment.</w:t>
      </w:r>
    </w:p>
    <w:p>
      <w:pPr>
        <w:keepNext/>
        <w:spacing w:after="40" w:before="140"/>
      </w:pPr>
      <w:r>
        <w:rPr>
          <w:rFonts w:ascii="Calibri" w:cs="Calibri" w:eastAsia="Calibri" w:hAnsi="Calibri"/>
          <w:b/>
          <w:bCs/>
          <w:color w:val="14161B"/>
          <w:sz w:val="20"/>
          <w:szCs w:val="20"/>
        </w:rPr>
        <w:t xml:space="preserve">Issue certificates promptly</w:t>
      </w:r>
    </w:p>
    <w:p>
      <w:pPr>
        <w:spacing w:after="60" w:line="264"/>
        <w:jc w:val="both"/>
      </w:pPr>
      <w:r>
        <w:rPr>
          <w:rFonts w:ascii="Calibri" w:cs="Calibri" w:eastAsia="Calibri" w:hAnsi="Calibri"/>
          <w:sz w:val="19"/>
          <w:szCs w:val="19"/>
        </w:rPr>
        <w:t xml:space="preserve">A delayed salary certificate can cost a school place, a tenancy or a visa appointment. The request is urgent for the employee and trivial for the employer. Set an internal turnaround and meet it.</w:t>
      </w:r>
    </w:p>
    <w:p>
      <w:pPr>
        <w:keepNext/>
        <w:spacing w:after="40" w:before="140"/>
      </w:pPr>
      <w:r>
        <w:rPr>
          <w:rFonts w:ascii="Calibri" w:cs="Calibri" w:eastAsia="Calibri" w:hAnsi="Calibri"/>
          <w:b/>
          <w:bCs/>
          <w:color w:val="14161B"/>
          <w:sz w:val="20"/>
          <w:szCs w:val="20"/>
        </w:rPr>
        <w:t xml:space="preserve">Nominate one issuer</w:t>
      </w:r>
    </w:p>
    <w:p>
      <w:pPr>
        <w:spacing w:after="60" w:line="264"/>
        <w:jc w:val="both"/>
      </w:pPr>
      <w:r>
        <w:rPr>
          <w:rFonts w:ascii="Calibri" w:cs="Calibri" w:eastAsia="Calibri" w:hAnsi="Calibri"/>
          <w:sz w:val="19"/>
          <w:szCs w:val="19"/>
        </w:rPr>
        <w:t xml:space="preserve">Certificates written by different managers produce different figures and inconsistent treatment between employees, which is noticed immediately in a small workforce. One owner, one template, one register.</w:t>
      </w:r>
    </w:p>
    <w:p>
      <w:pPr>
        <w:keepNext/>
        <w:spacing w:after="40" w:before="140"/>
      </w:pPr>
      <w:r>
        <w:rPr>
          <w:rFonts w:ascii="Calibri" w:cs="Calibri" w:eastAsia="Calibri" w:hAnsi="Calibri"/>
          <w:b/>
          <w:bCs/>
          <w:color w:val="14161B"/>
          <w:sz w:val="20"/>
          <w:szCs w:val="20"/>
        </w:rPr>
        <w:t xml:space="preserve">Family documents are personal data about non-employees</w:t>
      </w:r>
    </w:p>
    <w:p>
      <w:pPr>
        <w:spacing w:after="60" w:line="264"/>
        <w:jc w:val="both"/>
      </w:pPr>
      <w:r>
        <w:rPr>
          <w:rFonts w:ascii="Calibri" w:cs="Calibri" w:eastAsia="Calibri" w:hAnsi="Calibri"/>
          <w:sz w:val="19"/>
          <w:szCs w:val="19"/>
        </w:rPr>
        <w:t xml:space="preserve">Marriage certificates, birth certificates and dependants’ passports concern people who never agreed to anything with you. Collect only what is needed, restrict access, and delete when the purpose ends.</w:t>
      </w:r>
    </w:p>
    <w:p>
      <w:pPr>
        <w:keepNext/>
        <w:spacing w:after="40" w:before="140"/>
      </w:pPr>
      <w:r>
        <w:rPr>
          <w:rFonts w:ascii="Calibri" w:cs="Calibri" w:eastAsia="Calibri" w:hAnsi="Calibri"/>
          <w:b/>
          <w:bCs/>
          <w:color w:val="14161B"/>
          <w:sz w:val="20"/>
          <w:szCs w:val="20"/>
        </w:rPr>
        <w:t xml:space="preserve">Apply the same approach to everyone</w:t>
      </w:r>
    </w:p>
    <w:p>
      <w:pPr>
        <w:spacing w:after="60" w:line="264"/>
        <w:jc w:val="both"/>
      </w:pPr>
      <w:r>
        <w:rPr>
          <w:rFonts w:ascii="Calibri" w:cs="Calibri" w:eastAsia="Calibri" w:hAnsi="Calibri"/>
          <w:sz w:val="19"/>
          <w:szCs w:val="19"/>
        </w:rPr>
        <w:t xml:space="preserve">Helping one employee with sponsorship and not another in the same position is noticed and becomes a grievance. Decide the policy once — what you will issue, how fast, and what you will not do — and apply it.</w:t>
      </w:r>
    </w:p>
    <w:p>
      <w:pPr>
        <w:keepNext/>
        <w:spacing w:after="40" w:before="140"/>
      </w:pPr>
      <w:r>
        <w:rPr>
          <w:rFonts w:ascii="Calibri" w:cs="Calibri" w:eastAsia="Calibri" w:hAnsi="Calibri"/>
          <w:b/>
          <w:bCs/>
          <w:color w:val="14161B"/>
          <w:sz w:val="20"/>
          <w:szCs w:val="20"/>
        </w:rPr>
        <w:t xml:space="preserve">Long-term visa holders sponsor differently</w:t>
      </w:r>
    </w:p>
    <w:p>
      <w:pPr>
        <w:spacing w:after="60" w:line="264"/>
        <w:jc w:val="both"/>
      </w:pPr>
      <w:r>
        <w:rPr>
          <w:rFonts w:ascii="Calibri" w:cs="Calibri" w:eastAsia="Calibri" w:hAnsi="Calibri"/>
          <w:sz w:val="19"/>
          <w:szCs w:val="19"/>
        </w:rPr>
        <w:t xml:space="preserve">Golden and Green Visa holders generally sponsor family for longer periods and independently of their employment. Where an employee holds one, their family position does not collapse when they change jobs — which is worth knowing on both sides.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Salary thresholds, age limits, conditions for sponsoring spouses, children and parents, attestation procedures, medical requirements and health insurance obligations differ by emirate and change frequently — confirm with ICP, GDRFA or the relevant free zone before advising any employee.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2026-08-23T16:28:32.917Z</dcterms:created>
  <dcterms:modified xsi:type="dcterms:W3CDTF">2026-08-23T16:28:32.917Z</dcterms:modified>
</cp:coreProperties>
</file>

<file path=docProps/custom.xml><?xml version="1.0" encoding="utf-8"?>
<Properties xmlns="http://schemas.openxmlformats.org/officeDocument/2006/custom-properties" xmlns:vt="http://schemas.openxmlformats.org/officeDocument/2006/docPropsVTypes"/>
</file>