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SPEAKING UP</w:t>
      </w:r>
    </w:p>
    <w:p>
      <w:pPr>
        <w:spacing w:after="260"/>
        <w:jc w:val="center"/>
      </w:pPr>
      <w:r>
        <w:rPr>
          <w:rFonts w:ascii="Calibri" w:cs="Calibri" w:eastAsia="Calibri" w:hAnsi="Calibri"/>
          <w:i/>
          <w:iCs/>
          <w:color w:val="6E7480"/>
          <w:sz w:val="19"/>
          <w:szCs w:val="19"/>
        </w:rPr>
        <w:t xml:space="preserve">Reporting wrongdoing and how we respond</w:t>
      </w:r>
    </w:p>
    <w:p>
      <w:pPr>
        <w:spacing w:after="180" w:before="0" w:line="276"/>
        <w:jc w:val="both"/>
      </w:pPr>
      <w:r>
        <w:rPr>
          <w:rFonts w:ascii="Calibri" w:cs="Calibri" w:eastAsia="Calibri" w:hAnsi="Calibri"/>
          <w:i/>
          <w:iCs/>
          <w:color w:val="6E7480"/>
          <w:sz w:val="21"/>
          <w:szCs w:val="21"/>
        </w:rPr>
        <w:t xml:space="preserve">The UAE has no general private-sector whistleblower statute of the kind found elsewhere, so </w:t>
      </w:r>
      <w:r>
        <w:rPr>
          <w:rFonts w:ascii="Calibri" w:cs="Calibri" w:eastAsia="Calibri" w:hAnsi="Calibri"/>
          <w:b/>
          <w:bCs/>
          <w:i/>
          <w:iCs/>
          <w:color w:val="6E7480"/>
          <w:sz w:val="21"/>
          <w:szCs w:val="21"/>
        </w:rPr>
        <w:t xml:space="preserve">the protection here is what the employer commits to and demonstrates</w:t>
      </w:r>
      <w:r>
        <w:rPr>
          <w:rFonts w:ascii="Calibri" w:cs="Calibri" w:eastAsia="Calibri" w:hAnsi="Calibri"/>
          <w:i/>
          <w:iCs/>
          <w:color w:val="6E7480"/>
          <w:sz w:val="21"/>
          <w:szCs w:val="21"/>
        </w:rPr>
        <w:t xml:space="preserve">. In a workforce where residence depends on employment, a policy that does not address the fear of retaliation directly will not be used — and silence will be read as the absence of a problem.</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Organisation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[licence]</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Applies to</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Employees, contractors, agency staff, suppliers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Report to</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[EMAIL]</w:t>
            </w:r>
            <w:r>
              <w:rPr>
                <w:rFonts w:ascii="Calibri" w:cs="Calibri" w:eastAsia="Calibri" w:hAnsi="Calibri"/>
                <w:sz w:val="19"/>
                <w:szCs w:val="19"/>
              </w:rPr>
              <w:t xml:space="preserve">, </w:t>
            </w:r>
            <w:r>
              <w:rPr>
                <w:rFonts w:ascii="Calibri" w:cs="Calibri" w:eastAsia="Calibri" w:hAnsi="Calibri"/>
                <w:b/>
                <w:bCs/>
                <w:sz w:val="19"/>
                <w:szCs w:val="19"/>
              </w:rPr>
              <w:t xml:space="preserve">[PHONE]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Alternative, outside management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 external line]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Anonymous reporting available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 — how]</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Languages available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[LIST]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Approved by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r>
              <w:rPr>
                <w:rFonts w:ascii="Calibri" w:cs="Calibri" w:eastAsia="Calibri" w:hAnsi="Calibri"/>
                <w:sz w:val="19"/>
                <w:szCs w:val="19"/>
              </w:rPr>
              <w:t xml:space="preserve">, on </w:t>
            </w: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Annually</w:t>
            </w:r>
          </w:p>
        </w:tc>
      </w:tr>
    </w:tbl>
    <w:p>
      <w:pPr>
        <w:spacing w:after="180"/>
      </w:pPr>
    </w:p>
    <w:p>
      <w:pPr>
        <w:keepNext/>
        <w:spacing w:after="120" w:before="280"/>
        <w:outlineLvl w:val="0"/>
      </w:pPr>
      <w:r>
        <w:rPr>
          <w:rFonts w:ascii="Calibri" w:cs="Calibri" w:eastAsia="Calibri" w:hAnsi="Calibri"/>
          <w:b/>
          <w:bCs/>
          <w:color w:val="14161B"/>
          <w:sz w:val="22"/>
          <w:szCs w:val="22"/>
        </w:rPr>
        <w:t xml:space="preserve">1. WHAT TO REPORT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698"/>
        <w:gridCol w:w="6940"/>
      </w:tblGrid>
      <w:tr>
        <w:trPr>
          <w:cantSplit/>
          <w:tblHeader/>
        </w:trPr>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Category</w:t>
            </w:r>
          </w:p>
        </w:tc>
        <w:tc>
          <w:tcPr>
            <w:tcW w:type="dxa" w:w="69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Examples</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Financial wrongdoing</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Fraud, theft, false accounting, misuse of company funds</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Bribery and corruption</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Payments to officials, kickbacks, facilitation payments</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Employment breaches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Wage non-payment, charging candidates fees, passport retention, permit contraventions</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Fictitious employment</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Names on the file who do not work — including for quota purposes</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Safety</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Unsafe practices, midday ban breaches, unreported injuries</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Data</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Unauthorised access, disclosure, unreported breaches</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Tax and regulatory</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False filings, unrecorded transactions, evasion</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Harassment and discrimination</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Also covered by the respect at work policy</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Sanctions and money laundering</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Including suspicion of it</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Concealment of any of the above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Including pressure not to report</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b/>
          <w:bCs/>
          <w:sz w:val="21"/>
          <w:szCs w:val="21"/>
        </w:rPr>
        <w:t xml:space="preserve">Report a genuine concern even if you are not certain.</w:t>
      </w:r>
      <w:r>
        <w:rPr>
          <w:rFonts w:ascii="Calibri" w:cs="Calibri" w:eastAsia="Calibri" w:hAnsi="Calibri"/>
          <w:sz w:val="21"/>
          <w:szCs w:val="21"/>
        </w:rPr>
        <w:t xml:space="preserve"> You do not need proof, and you will not be penalised for raising something that turns out to be mistaken, provided you acted honestly.</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A personal grievance about your own employment goes through the </w:t>
      </w:r>
      <w:r>
        <w:rPr>
          <w:rFonts w:ascii="Calibri" w:cs="Calibri" w:eastAsia="Calibri" w:hAnsi="Calibri"/>
          <w:b/>
          <w:bCs/>
          <w:sz w:val="21"/>
          <w:szCs w:val="21"/>
        </w:rPr>
        <w:t xml:space="preserve">grievance procedure</w:t>
      </w:r>
      <w:r>
        <w:rPr>
          <w:rFonts w:ascii="Calibri" w:cs="Calibri" w:eastAsia="Calibri" w:hAnsi="Calibri"/>
          <w:sz w:val="21"/>
          <w:szCs w:val="21"/>
        </w:rPr>
        <w:t xml:space="preserve"> instead — both routes exist and neither is a lesser option.</w:t>
      </w:r>
    </w:p>
    <w:p>
      <w:pPr>
        <w:keepNext/>
        <w:spacing w:after="120" w:before="280"/>
        <w:outlineLvl w:val="0"/>
      </w:pPr>
      <w:r>
        <w:rPr>
          <w:rFonts w:ascii="Calibri" w:cs="Calibri" w:eastAsia="Calibri" w:hAnsi="Calibri"/>
          <w:b/>
          <w:bCs/>
          <w:color w:val="14161B"/>
          <w:sz w:val="22"/>
          <w:szCs w:val="22"/>
        </w:rPr>
        <w:t xml:space="preserve">2. OUR COMMITMENTS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b/>
          <w:bCs/>
          <w:sz w:val="21"/>
          <w:szCs w:val="21"/>
        </w:rPr>
        <w:t xml:space="preserve">We will not retaliate against anyone who raises a genuine concern.</w:t>
      </w:r>
      <w:r>
        <w:rPr>
          <w:rFonts w:ascii="Calibri" w:cs="Calibri" w:eastAsia="Calibri" w:hAnsi="Calibri"/>
          <w:sz w:val="21"/>
          <w:szCs w:val="21"/>
        </w:rPr>
        <w:t xml:space="preserve"> No dismissal, no visa cancellation, no reduction in hours, no transfer, no exclusion.</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Dismissal because an employee filed a legitimate complaint may amount to </w:t>
      </w:r>
      <w:r>
        <w:rPr>
          <w:rFonts w:ascii="Calibri" w:cs="Calibri" w:eastAsia="Calibri" w:hAnsi="Calibri"/>
          <w:b/>
          <w:bCs/>
          <w:sz w:val="21"/>
          <w:szCs w:val="21"/>
        </w:rPr>
        <w:t xml:space="preserve">arbitrary dismissal</w:t>
      </w:r>
      <w:r>
        <w:rPr>
          <w:rFonts w:ascii="Calibri" w:cs="Calibri" w:eastAsia="Calibri" w:hAnsi="Calibri"/>
          <w:sz w:val="21"/>
          <w:szCs w:val="21"/>
        </w:rPr>
        <w:t xml:space="preserve">, for which compensation of up to three months’ salary may be awarded in addition to other entitlements.</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We will keep your identity confidential so far as the investigation permits, and will tell you before it becomes necessary to disclose it.</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We will acknowledge within </w:t>
      </w:r>
      <w:r>
        <w:rPr>
          <w:rFonts w:ascii="Calibri" w:cs="Calibri" w:eastAsia="Calibri" w:hAnsi="Calibri"/>
          <w:b/>
          <w:bCs/>
          <w:sz w:val="21"/>
          <w:szCs w:val="21"/>
        </w:rPr>
        <w:t xml:space="preserve">[3]</w:t>
      </w:r>
      <w:r>
        <w:rPr>
          <w:rFonts w:ascii="Calibri" w:cs="Calibri" w:eastAsia="Calibri" w:hAnsi="Calibri"/>
          <w:b/>
          <w:bCs/>
          <w:sz w:val="21"/>
          <w:szCs w:val="21"/>
        </w:rPr>
        <w:t xml:space="preserve"> working days</w:t>
      </w:r>
      <w:r>
        <w:rPr>
          <w:rFonts w:ascii="Calibri" w:cs="Calibri" w:eastAsia="Calibri" w:hAnsi="Calibri"/>
          <w:sz w:val="21"/>
          <w:szCs w:val="21"/>
        </w:rPr>
        <w:t xml:space="preserve">, tell you what will happen, and give you an outcome.</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b/>
          <w:bCs/>
          <w:sz w:val="21"/>
          <w:szCs w:val="21"/>
        </w:rPr>
        <w:t xml:space="preserve">Retaliation by anyone in this organisation is itself a disciplinary matter.</w:t>
      </w:r>
    </w:p>
    <w:p>
      <w:pPr>
        <w:spacing w:after="120" w:before="60" w:line="276"/>
        <w:ind w:left="720" w:hanging="720"/>
        <w:jc w:val="both"/>
      </w:pPr>
      <w:r>
        <w:rPr>
          <w:rFonts w:ascii="Calibri" w:cs="Calibri" w:eastAsia="Calibri" w:hAnsi="Calibri"/>
          <w:sz w:val="21"/>
          <w:szCs w:val="21"/>
        </w:rPr>
        <w:t xml:space="preserve">2.6	</w:t>
      </w:r>
      <w:r>
        <w:rPr>
          <w:rFonts w:ascii="Calibri" w:cs="Calibri" w:eastAsia="Calibri" w:hAnsi="Calibri"/>
          <w:i/>
          <w:iCs/>
          <w:sz w:val="21"/>
          <w:szCs w:val="21"/>
        </w:rPr>
        <w:t xml:space="preserve">The residence point has to be said out loud. Many people here hold their visa through their job, and the fear that reporting costs them their status is the single reason policies like this go unused. We are stating plainly that it will not.</w:t>
      </w:r>
    </w:p>
    <w:p>
      <w:pPr>
        <w:keepNext/>
        <w:spacing w:after="120" w:before="280"/>
        <w:outlineLvl w:val="0"/>
      </w:pPr>
      <w:r>
        <w:rPr>
          <w:rFonts w:ascii="Calibri" w:cs="Calibri" w:eastAsia="Calibri" w:hAnsi="Calibri"/>
          <w:b/>
          <w:bCs/>
          <w:color w:val="14161B"/>
          <w:sz w:val="22"/>
          <w:szCs w:val="22"/>
        </w:rPr>
        <w:t xml:space="preserve">3. HOW TO REPORT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cantSplit/>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Route</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When to use it</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Your manager</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they are not involved and you are comfortable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r>
              <w:rPr>
                <w:rFonts w:ascii="Calibri" w:cs="Calibri" w:eastAsia="Calibri" w:hAnsi="Calibri"/>
                <w:b/>
                <w:bCs/>
                <w:sz w:val="18"/>
                <w:szCs w:val="18"/>
              </w:rPr>
              <w:t xml:space="preserve">, </w:t>
            </w:r>
            <w:r>
              <w:rPr>
                <w:rFonts w:ascii="Calibri" w:cs="Calibri" w:eastAsia="Calibri" w:hAnsi="Calibri"/>
                <w:b/>
                <w:bCs/>
                <w:sz w:val="18"/>
                <w:szCs w:val="18"/>
              </w:rPr>
              <w:t xml:space="preserve">[DESIGNATION]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main route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[ALTERNATIVE]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management is involved, or you prefer someone else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[External confidential line]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Independent of the organisation</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Anonymously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[How — and note the limits in Section 4]</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MOHRE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Employment matters, independently of this policy</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 regulator or authority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Nothing here prevents you</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Reports may be made in </w:t>
      </w:r>
      <w:r>
        <w:rPr>
          <w:rFonts w:ascii="Calibri" w:cs="Calibri" w:eastAsia="Calibri" w:hAnsi="Calibri"/>
          <w:b/>
          <w:bCs/>
          <w:sz w:val="21"/>
          <w:szCs w:val="21"/>
        </w:rPr>
        <w:t xml:space="preserve">[any of the languages listed]</w:t>
      </w:r>
      <w:r>
        <w:rPr>
          <w:rFonts w:ascii="Calibri" w:cs="Calibri" w:eastAsia="Calibri" w:hAnsi="Calibri"/>
          <w:sz w:val="21"/>
          <w:szCs w:val="21"/>
        </w:rPr>
        <w:t xml:space="preserve">, verbally or in writing.</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Nothing in this policy, in your contract, or in any settlement or confidentiality agreement prevents you from reporting to a regulator or authority, or cooperating with an investigation.</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ANONYMOUS REPORTS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We accept anonymous reports and take them seriously.</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Be aware of the limits: we cannot ask you follow-up questions, cannot keep you informed, and cannot protect you from retaliation we do not know is happening.</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A specific anonymous report — dates, amounts, documents, systems — can be investigated. A general allegation usually cannot.</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i/>
          <w:iCs/>
          <w:sz w:val="21"/>
          <w:szCs w:val="21"/>
        </w:rPr>
        <w:t xml:space="preserve">If you can identify yourself to one named person, that is materially better than anonymity. Section 2 exists so that you can.</w:t>
      </w:r>
    </w:p>
    <w:p>
      <w:pPr>
        <w:keepNext/>
        <w:spacing w:after="120" w:before="280"/>
        <w:outlineLvl w:val="0"/>
      </w:pPr>
      <w:r>
        <w:rPr>
          <w:rFonts w:ascii="Calibri" w:cs="Calibri" w:eastAsia="Calibri" w:hAnsi="Calibri"/>
          <w:b/>
          <w:bCs/>
          <w:color w:val="14161B"/>
          <w:sz w:val="22"/>
          <w:szCs w:val="22"/>
        </w:rPr>
        <w:t xml:space="preserve">5. HOW WE INVESTIGATE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
        <w:gridCol w:w="5975"/>
        <w:gridCol w:w="3085"/>
      </w:tblGrid>
      <w:tr>
        <w:trPr>
          <w:cantSplit/>
          <w:tblHeader/>
        </w:trPr>
        <w:tc>
          <w:tcPr>
            <w:tcW w:type="dxa" w:w="5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597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30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Timing</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Acknowledge and assess urgency</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w:t>
            </w:r>
            <w:r>
              <w:rPr>
                <w:rFonts w:ascii="Calibri" w:cs="Calibri" w:eastAsia="Calibri" w:hAnsi="Calibri"/>
                <w:b/>
                <w:bCs/>
                <w:sz w:val="18"/>
                <w:szCs w:val="18"/>
              </w:rPr>
              <w:t xml:space="preserve">[3]</w:t>
            </w:r>
            <w:r>
              <w:rPr>
                <w:rFonts w:ascii="Calibri" w:cs="Calibri" w:eastAsia="Calibri" w:hAnsi="Calibri"/>
                <w:sz w:val="18"/>
                <w:szCs w:val="18"/>
              </w:rPr>
              <w:t xml:space="preserve"> working days</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Take immediate protective steps if needed</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Immediately</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Appoint an investigator independent of the matter</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Day 1</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Preserve records, systems and evidence</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anything is cleared</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Take a full account from the reporter</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Week 1</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Gather documents and interview witnesses</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Weeks 1–3</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Put allegations to anyone implicated and hear them</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concluding</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Reach findings and record the reasoning</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Week 4</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Act — discipline from the statutory list, or other remedy</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Promptly</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Tell the reporter the outcome, so far as appropriate</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conclusion</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Check on the reporter at </w:t>
            </w:r>
            <w:r>
              <w:rPr>
                <w:rFonts w:ascii="Calibri" w:cs="Calibri" w:eastAsia="Calibri" w:hAnsi="Calibri"/>
                <w:b/>
                <w:bCs/>
                <w:sz w:val="18"/>
                <w:szCs w:val="18"/>
              </w:rPr>
              <w:t xml:space="preserve">[4]</w:t>
            </w:r>
            <w:r>
              <w:rPr>
                <w:rFonts w:ascii="Calibri" w:cs="Calibri" w:eastAsia="Calibri" w:hAnsi="Calibri"/>
                <w:b/>
                <w:bCs/>
                <w:sz w:val="18"/>
                <w:szCs w:val="18"/>
              </w:rPr>
              <w:t xml:space="preserve"> and </w:t>
            </w:r>
            <w:r>
              <w:rPr>
                <w:rFonts w:ascii="Calibri" w:cs="Calibri" w:eastAsia="Calibri" w:hAnsi="Calibri"/>
                <w:b/>
                <w:bCs/>
                <w:sz w:val="18"/>
                <w:szCs w:val="18"/>
              </w:rPr>
              <w:t xml:space="preserve">[12]</w:t>
            </w:r>
            <w:r>
              <w:rPr>
                <w:rFonts w:ascii="Calibri" w:cs="Calibri" w:eastAsia="Calibri" w:hAnsi="Calibri"/>
                <w:b/>
                <w:bCs/>
                <w:sz w:val="18"/>
                <w:szCs w:val="18"/>
              </w:rPr>
              <w:t xml:space="preserve"> weeks</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After conclusion</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Fix the underlying cause</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w:t>
            </w:r>
            <w:r>
              <w:rPr>
                <w:rFonts w:ascii="Calibri" w:cs="Calibri" w:eastAsia="Calibri" w:hAnsi="Calibri"/>
                <w:b/>
                <w:bCs/>
                <w:sz w:val="18"/>
                <w:szCs w:val="18"/>
              </w:rPr>
              <w:t xml:space="preserve">[30]</w:t>
            </w:r>
            <w:r>
              <w:rPr>
                <w:rFonts w:ascii="Calibri" w:cs="Calibri" w:eastAsia="Calibri" w:hAnsi="Calibri"/>
                <w:sz w:val="18"/>
                <w:szCs w:val="18"/>
              </w:rPr>
              <w:t xml:space="preserve"> days</w:t>
            </w: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b/>
          <w:bCs/>
          <w:sz w:val="21"/>
          <w:szCs w:val="21"/>
        </w:rPr>
        <w:t xml:space="preserve">Where an implicated person is senior, the investigator must not report to them.</w:t>
      </w:r>
      <w:r>
        <w:rPr>
          <w:rFonts w:ascii="Calibri" w:cs="Calibri" w:eastAsia="Calibri" w:hAnsi="Calibri"/>
          <w:sz w:val="21"/>
          <w:szCs w:val="21"/>
        </w:rPr>
        <w:t xml:space="preserve"> Use an external investigator, or a director with no involvement. An investigation conducted by someone answerable to the subject is not an investigation.</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Step 11 matters. </w:t>
      </w:r>
      <w:r>
        <w:rPr>
          <w:rFonts w:ascii="Calibri" w:cs="Calibri" w:eastAsia="Calibri" w:hAnsi="Calibri"/>
          <w:b/>
          <w:bCs/>
          <w:sz w:val="21"/>
          <w:szCs w:val="21"/>
        </w:rPr>
        <w:t xml:space="preserve">Retaliation usually begins after the process ends</w:t>
      </w:r>
      <w:r>
        <w:rPr>
          <w:rFonts w:ascii="Calibri" w:cs="Calibri" w:eastAsia="Calibri" w:hAnsi="Calibri"/>
          <w:sz w:val="21"/>
          <w:szCs w:val="21"/>
        </w:rPr>
        <w:t xml:space="preserve">, quietly — hours reduced, exclusion, a poor review.</w:t>
      </w:r>
    </w:p>
    <w:p>
      <w:pPr>
        <w:keepNext/>
        <w:spacing w:after="120" w:before="280"/>
        <w:outlineLvl w:val="0"/>
      </w:pPr>
      <w:r>
        <w:rPr>
          <w:rFonts w:ascii="Calibri" w:cs="Calibri" w:eastAsia="Calibri" w:hAnsi="Calibri"/>
          <w:b/>
          <w:bCs/>
          <w:color w:val="14161B"/>
          <w:sz w:val="22"/>
          <w:szCs w:val="22"/>
        </w:rPr>
        <w:t xml:space="preserve">6. WHERE REPORTING OUTWARD MAY BE REQUIRED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Concern</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Consider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Suspicion of money laundering</w:t>
            </w:r>
            <w:r>
              <w:rPr>
                <w:rFonts w:ascii="Calibri" w:cs="Calibri" w:eastAsia="Calibri" w:hAnsi="Calibri"/>
                <w:sz w:val="18"/>
                <w:szCs w:val="18"/>
              </w:rPr>
              <w:t xml:space="preserve"> (DNFBPs)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goAML report — and tipping off is an offence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Personal data breach</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Regulator notification under the applicable regime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 injury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Authority notification and insurer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Bribery involving officials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Take legal advice before any external step</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Tax irregularity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Consider a voluntary disclosure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Fictitious employment discovered internally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Take advice immediately</w:t>
            </w:r>
            <w:r>
              <w:rPr>
                <w:rFonts w:ascii="Calibri" w:cs="Calibri" w:eastAsia="Calibri" w:hAnsi="Calibri"/>
                <w:sz w:val="18"/>
                <w:szCs w:val="18"/>
              </w:rPr>
              <w:t xml:space="preserve"> — penalties and criminal exposure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Sanctions exposure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Take advice; screening obligations continue</w:t>
            </w:r>
          </w:p>
        </w:tc>
      </w:tr>
    </w:tbl>
    <w:p>
      <w:pPr>
        <w:spacing w:after="140"/>
      </w:pP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i/>
          <w:iCs/>
          <w:sz w:val="21"/>
          <w:szCs w:val="21"/>
        </w:rPr>
        <w:t xml:space="preserve">Discovering wrongdoing creates its own obligations. Take advice early — in several of these areas, a proactive disclosure is treated very differently from one made after the authority finds it.</w:t>
      </w:r>
    </w:p>
    <w:p>
      <w:pPr>
        <w:keepNext/>
        <w:spacing w:after="120" w:before="280"/>
        <w:outlineLvl w:val="0"/>
      </w:pPr>
      <w:r>
        <w:rPr>
          <w:rFonts w:ascii="Calibri" w:cs="Calibri" w:eastAsia="Calibri" w:hAnsi="Calibri"/>
          <w:b/>
          <w:bCs/>
          <w:color w:val="14161B"/>
          <w:sz w:val="22"/>
          <w:szCs w:val="22"/>
        </w:rPr>
        <w:t xml:space="preserve">7. REGISTER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156"/>
        <w:gridCol w:w="1542"/>
        <w:gridCol w:w="1349"/>
        <w:gridCol w:w="1349"/>
        <w:gridCol w:w="1542"/>
        <w:gridCol w:w="1349"/>
        <w:gridCol w:w="966"/>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Category</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Route</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Investigator</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Outcome</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Cause fixed</w:t>
            </w:r>
          </w:p>
        </w:tc>
        <w:tc>
          <w:tcPr>
            <w:tcW w:type="dxa" w:w="96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Follow-up</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[CATEGORY]</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[Named / anon]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96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[CATEGORY]</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96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[DATES]</w:t>
            </w:r>
          </w:p>
        </w:tc>
      </w:tr>
    </w:tbl>
    <w:p>
      <w:pPr>
        <w:spacing w:after="140"/>
      </w:pP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The register is reviewed </w:t>
      </w:r>
      <w:r>
        <w:rPr>
          <w:rFonts w:ascii="Calibri" w:cs="Calibri" w:eastAsia="Calibri" w:hAnsi="Calibri"/>
          <w:b/>
          <w:bCs/>
          <w:sz w:val="21"/>
          <w:szCs w:val="21"/>
        </w:rPr>
        <w:t xml:space="preserve">[quarterly]</w:t>
      </w:r>
      <w:r>
        <w:rPr>
          <w:rFonts w:ascii="Calibri" w:cs="Calibri" w:eastAsia="Calibri" w:hAnsi="Calibri"/>
          <w:sz w:val="21"/>
          <w:szCs w:val="21"/>
        </w:rPr>
        <w:t xml:space="preserve"> for patterns — recurring areas, teams or individuals — and to confirm that follow-up actually happened.</w:t>
      </w:r>
    </w:p>
    <w:p>
      <w:pPr>
        <w:spacing w:after="160"/>
      </w:pPr>
    </w:p>
    <w:p>
      <w:pPr>
        <w:spacing w:after="140" w:before="0" w:line="276"/>
        <w:jc w:val="both"/>
      </w:pPr>
      <w:r>
        <w:rPr>
          <w:rFonts w:ascii="Calibri" w:cs="Calibri" w:eastAsia="Calibri" w:hAnsi="Calibri"/>
          <w:b/>
          <w:bCs/>
          <w:sz w:val="21"/>
          <w:szCs w:val="21"/>
        </w:rPr>
        <w:t xml:space="preserve">Acknowledgement.</w:t>
      </w:r>
      <w:r>
        <w:rPr>
          <w:rFonts w:ascii="Calibri" w:cs="Calibri" w:eastAsia="Calibri" w:hAnsi="Calibri"/>
          <w:sz w:val="21"/>
          <w:szCs w:val="21"/>
        </w:rPr>
        <w:t xml:space="preserve"> I confirm I have received this policy in a language I understand and know how to raise a concern.</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For </w:t>
            </w:r>
            <w:r>
              <w:rPr>
                <w:rFonts w:ascii="Calibri" w:cs="Calibri" w:eastAsia="Calibri" w:hAnsi="Calibri"/>
                <w:b/>
                <w:bCs/>
                <w:sz w:val="21"/>
                <w:szCs w:val="21"/>
              </w:rPr>
              <w:t xml:space="preserve">[COMPANY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protection here is what you commit to</w:t>
      </w:r>
    </w:p>
    <w:p>
      <w:pPr>
        <w:spacing w:after="60" w:line="264"/>
        <w:jc w:val="both"/>
      </w:pPr>
      <w:r>
        <w:rPr>
          <w:rFonts w:ascii="Calibri" w:cs="Calibri" w:eastAsia="Calibri" w:hAnsi="Calibri"/>
          <w:sz w:val="19"/>
          <w:szCs w:val="19"/>
        </w:rPr>
        <w:t xml:space="preserve">The UAE has no general private-sector whistleblower statute of the kind found in some jurisdictions. That makes the employer’s own commitment, and its visible behaviour, the whole protection. A policy nobody believes is worse than none, because it establishes that the organisation knew what it should be doing.</w:t>
      </w:r>
    </w:p>
    <w:p>
      <w:pPr>
        <w:keepNext/>
        <w:spacing w:after="40" w:before="140"/>
      </w:pPr>
      <w:r>
        <w:rPr>
          <w:rFonts w:ascii="Calibri" w:cs="Calibri" w:eastAsia="Calibri" w:hAnsi="Calibri"/>
          <w:b/>
          <w:bCs/>
          <w:color w:val="14161B"/>
          <w:sz w:val="20"/>
          <w:szCs w:val="20"/>
        </w:rPr>
        <w:t xml:space="preserve">Name the visa fear explicitly</w:t>
      </w:r>
    </w:p>
    <w:p>
      <w:pPr>
        <w:spacing w:after="60" w:line="264"/>
        <w:jc w:val="both"/>
      </w:pPr>
      <w:r>
        <w:rPr>
          <w:rFonts w:ascii="Calibri" w:cs="Calibri" w:eastAsia="Calibri" w:hAnsi="Calibri"/>
          <w:sz w:val="19"/>
          <w:szCs w:val="19"/>
        </w:rPr>
        <w:t xml:space="preserve">Where residence depends on employment, the fear that reporting costs you your status is the single reason these policies go unused. Say plainly that it will not, and back it with the arbitrary dismissal point so the commitment has something behind it.</w:t>
      </w:r>
    </w:p>
    <w:p>
      <w:pPr>
        <w:keepNext/>
        <w:spacing w:after="40" w:before="140"/>
      </w:pPr>
      <w:r>
        <w:rPr>
          <w:rFonts w:ascii="Calibri" w:cs="Calibri" w:eastAsia="Calibri" w:hAnsi="Calibri"/>
          <w:b/>
          <w:bCs/>
          <w:color w:val="14161B"/>
          <w:sz w:val="20"/>
          <w:szCs w:val="20"/>
        </w:rPr>
        <w:t xml:space="preserve">Retaliation can attract compensation</w:t>
      </w:r>
    </w:p>
    <w:p>
      <w:pPr>
        <w:spacing w:after="60" w:line="264"/>
        <w:jc w:val="both"/>
      </w:pPr>
      <w:r>
        <w:rPr>
          <w:rFonts w:ascii="Calibri" w:cs="Calibri" w:eastAsia="Calibri" w:hAnsi="Calibri"/>
          <w:sz w:val="19"/>
          <w:szCs w:val="19"/>
        </w:rPr>
        <w:t xml:space="preserve">Dismissal because an employee raised a legitimate complaint may amount to arbitrary dismissal with compensation of up to three months’ salary in addition to everything else. That is worth stating — it tells employees the protection is not purely discretionary.</w:t>
      </w:r>
    </w:p>
    <w:p>
      <w:pPr>
        <w:keepNext/>
        <w:spacing w:after="40" w:before="140"/>
      </w:pPr>
      <w:r>
        <w:rPr>
          <w:rFonts w:ascii="Calibri" w:cs="Calibri" w:eastAsia="Calibri" w:hAnsi="Calibri"/>
          <w:b/>
          <w:bCs/>
          <w:color w:val="14161B"/>
          <w:sz w:val="20"/>
          <w:szCs w:val="20"/>
        </w:rPr>
        <w:t xml:space="preserve">Carve out external reporting everywhere</w:t>
      </w:r>
    </w:p>
    <w:p>
      <w:pPr>
        <w:spacing w:after="60" w:line="264"/>
        <w:jc w:val="both"/>
      </w:pPr>
      <w:r>
        <w:rPr>
          <w:rFonts w:ascii="Calibri" w:cs="Calibri" w:eastAsia="Calibri" w:hAnsi="Calibri"/>
          <w:sz w:val="19"/>
          <w:szCs w:val="19"/>
        </w:rPr>
        <w:t xml:space="preserve">Nothing in the policy, the contract, an NDA or a settlement agreement should appear to prevent reporting to a regulator or authority. A confidentiality clause that seems to suppress reporting is objectionable and may be unenforceable.</w:t>
      </w:r>
    </w:p>
    <w:p>
      <w:pPr>
        <w:keepNext/>
        <w:spacing w:after="40" w:before="140"/>
      </w:pPr>
      <w:r>
        <w:rPr>
          <w:rFonts w:ascii="Calibri" w:cs="Calibri" w:eastAsia="Calibri" w:hAnsi="Calibri"/>
          <w:b/>
          <w:bCs/>
          <w:color w:val="14161B"/>
          <w:sz w:val="20"/>
          <w:szCs w:val="20"/>
        </w:rPr>
        <w:t xml:space="preserve">The investigator must not report to the subject</w:t>
      </w:r>
    </w:p>
    <w:p>
      <w:pPr>
        <w:spacing w:after="60" w:line="264"/>
        <w:jc w:val="both"/>
      </w:pPr>
      <w:r>
        <w:rPr>
          <w:rFonts w:ascii="Calibri" w:cs="Calibri" w:eastAsia="Calibri" w:hAnsi="Calibri"/>
          <w:sz w:val="19"/>
          <w:szCs w:val="19"/>
        </w:rPr>
        <w:t xml:space="preserve">Where a senior person is implicated, an investigation conducted by someone answerable to them is not an investigation. Use an external investigator or an uninvolved director, and be seen to do so.</w:t>
      </w:r>
    </w:p>
    <w:p>
      <w:pPr>
        <w:keepNext/>
        <w:spacing w:after="40" w:before="140"/>
      </w:pPr>
      <w:r>
        <w:rPr>
          <w:rFonts w:ascii="Calibri" w:cs="Calibri" w:eastAsia="Calibri" w:hAnsi="Calibri"/>
          <w:b/>
          <w:bCs/>
          <w:color w:val="14161B"/>
          <w:sz w:val="20"/>
          <w:szCs w:val="20"/>
        </w:rPr>
        <w:t xml:space="preserve">Be honest about the limits of anonymity</w:t>
      </w:r>
    </w:p>
    <w:p>
      <w:pPr>
        <w:spacing w:after="60" w:line="264"/>
        <w:jc w:val="both"/>
      </w:pPr>
      <w:r>
        <w:rPr>
          <w:rFonts w:ascii="Calibri" w:cs="Calibri" w:eastAsia="Calibri" w:hAnsi="Calibri"/>
          <w:sz w:val="19"/>
          <w:szCs w:val="19"/>
        </w:rPr>
        <w:t xml:space="preserve">Anonymous reports cannot be clarified, the reporter cannot be kept informed, and they cannot be protected from retaliation nobody knows about. Accept them, take them seriously, and explain why identifying yourself to one named person is better.</w:t>
      </w:r>
    </w:p>
    <w:p>
      <w:pPr>
        <w:keepNext/>
        <w:spacing w:after="40" w:before="140"/>
      </w:pPr>
      <w:r>
        <w:rPr>
          <w:rFonts w:ascii="Calibri" w:cs="Calibri" w:eastAsia="Calibri" w:hAnsi="Calibri"/>
          <w:b/>
          <w:bCs/>
          <w:color w:val="14161B"/>
          <w:sz w:val="20"/>
          <w:szCs w:val="20"/>
        </w:rPr>
        <w:t xml:space="preserve">Specificity is what makes a report actionable</w:t>
      </w:r>
    </w:p>
    <w:p>
      <w:pPr>
        <w:spacing w:after="60" w:line="264"/>
        <w:jc w:val="both"/>
      </w:pPr>
      <w:r>
        <w:rPr>
          <w:rFonts w:ascii="Calibri" w:cs="Calibri" w:eastAsia="Calibri" w:hAnsi="Calibri"/>
          <w:sz w:val="19"/>
          <w:szCs w:val="19"/>
        </w:rPr>
        <w:t xml:space="preserve">Dates, amounts, documents and systems can be investigated. A general allegation usually cannot. Say so in the policy so reporters know what helps.</w:t>
      </w:r>
    </w:p>
    <w:p>
      <w:pPr>
        <w:keepNext/>
        <w:spacing w:after="40" w:before="140"/>
      </w:pPr>
      <w:r>
        <w:rPr>
          <w:rFonts w:ascii="Calibri" w:cs="Calibri" w:eastAsia="Calibri" w:hAnsi="Calibri"/>
          <w:b/>
          <w:bCs/>
          <w:color w:val="14161B"/>
          <w:sz w:val="20"/>
          <w:szCs w:val="20"/>
        </w:rPr>
        <w:t xml:space="preserve">Check back after the process ends</w:t>
      </w:r>
    </w:p>
    <w:p>
      <w:pPr>
        <w:spacing w:after="60" w:line="264"/>
        <w:jc w:val="both"/>
      </w:pPr>
      <w:r>
        <w:rPr>
          <w:rFonts w:ascii="Calibri" w:cs="Calibri" w:eastAsia="Calibri" w:hAnsi="Calibri"/>
          <w:sz w:val="19"/>
          <w:szCs w:val="19"/>
        </w:rPr>
        <w:t xml:space="preserve">Retaliation typically starts quietly once attention moves on — reduced hours, exclusion, a poor review. Scheduled follow-up at four and twelve weeks catches it, and its absence is why reporters say speaking up made things worse.</w:t>
      </w:r>
    </w:p>
    <w:p>
      <w:pPr>
        <w:keepNext/>
        <w:spacing w:after="40" w:before="140"/>
      </w:pPr>
      <w:r>
        <w:rPr>
          <w:rFonts w:ascii="Calibri" w:cs="Calibri" w:eastAsia="Calibri" w:hAnsi="Calibri"/>
          <w:b/>
          <w:bCs/>
          <w:color w:val="14161B"/>
          <w:sz w:val="20"/>
          <w:szCs w:val="20"/>
        </w:rPr>
        <w:t xml:space="preserve">Preserve evidence before investigating</w:t>
      </w:r>
    </w:p>
    <w:p>
      <w:pPr>
        <w:spacing w:after="60" w:line="264"/>
        <w:jc w:val="both"/>
      </w:pPr>
      <w:r>
        <w:rPr>
          <w:rFonts w:ascii="Calibri" w:cs="Calibri" w:eastAsia="Calibri" w:hAnsi="Calibri"/>
          <w:sz w:val="19"/>
          <w:szCs w:val="19"/>
        </w:rPr>
        <w:t xml:space="preserve">Systems, records and access logs need preserving before anyone is alerted or anything is cleared. Investigations announced before evidence is secured routinely find that the relevant material has gone.</w:t>
      </w:r>
    </w:p>
    <w:p>
      <w:pPr>
        <w:keepNext/>
        <w:spacing w:after="40" w:before="140"/>
      </w:pPr>
      <w:r>
        <w:rPr>
          <w:rFonts w:ascii="Calibri" w:cs="Calibri" w:eastAsia="Calibri" w:hAnsi="Calibri"/>
          <w:b/>
          <w:bCs/>
          <w:color w:val="14161B"/>
          <w:sz w:val="20"/>
          <w:szCs w:val="20"/>
        </w:rPr>
        <w:t xml:space="preserve">Sanctions come from the closed statutory list</w:t>
      </w:r>
    </w:p>
    <w:p>
      <w:pPr>
        <w:spacing w:after="60" w:line="264"/>
        <w:jc w:val="both"/>
      </w:pPr>
      <w:r>
        <w:rPr>
          <w:rFonts w:ascii="Calibri" w:cs="Calibri" w:eastAsia="Calibri" w:hAnsi="Calibri"/>
          <w:sz w:val="19"/>
          <w:szCs w:val="19"/>
        </w:rPr>
        <w:t xml:space="preserve">However serious the finding, any disciplinary penalty must be one the Law permits. An invented sanction creates a claim even where the wrongdoing was proven — the employer then loses on the remedy rather than the facts.</w:t>
      </w:r>
    </w:p>
    <w:p>
      <w:pPr>
        <w:keepNext/>
        <w:spacing w:after="40" w:before="140"/>
      </w:pPr>
      <w:r>
        <w:rPr>
          <w:rFonts w:ascii="Calibri" w:cs="Calibri" w:eastAsia="Calibri" w:hAnsi="Calibri"/>
          <w:b/>
          <w:bCs/>
          <w:color w:val="14161B"/>
          <w:sz w:val="20"/>
          <w:szCs w:val="20"/>
        </w:rPr>
        <w:t xml:space="preserve">Some discoveries create outward obligations</w:t>
      </w:r>
    </w:p>
    <w:p>
      <w:pPr>
        <w:spacing w:after="60" w:line="264"/>
        <w:jc w:val="both"/>
      </w:pPr>
      <w:r>
        <w:rPr>
          <w:rFonts w:ascii="Calibri" w:cs="Calibri" w:eastAsia="Calibri" w:hAnsi="Calibri"/>
          <w:sz w:val="19"/>
          <w:szCs w:val="19"/>
        </w:rPr>
        <w:t xml:space="preserve">Money laundering suspicion for a designated business means a goAML report, and tipping off is a criminal offence. Data breaches, work injuries and tax irregularities each carry their own routes. Take advice early — proactive disclosure is treated very differently from discovery by the authority.</w:t>
      </w:r>
    </w:p>
    <w:p>
      <w:pPr>
        <w:keepNext/>
        <w:spacing w:after="40" w:before="140"/>
      </w:pPr>
      <w:r>
        <w:rPr>
          <w:rFonts w:ascii="Calibri" w:cs="Calibri" w:eastAsia="Calibri" w:hAnsi="Calibri"/>
          <w:b/>
          <w:bCs/>
          <w:color w:val="14161B"/>
          <w:sz w:val="20"/>
          <w:szCs w:val="20"/>
        </w:rPr>
        <w:t xml:space="preserve">Fictitious employment needs immediate advice</w:t>
      </w:r>
    </w:p>
    <w:p>
      <w:pPr>
        <w:spacing w:after="60" w:line="264"/>
        <w:jc w:val="both"/>
      </w:pPr>
      <w:r>
        <w:rPr>
          <w:rFonts w:ascii="Calibri" w:cs="Calibri" w:eastAsia="Calibri" w:hAnsi="Calibri"/>
          <w:sz w:val="19"/>
          <w:szCs w:val="19"/>
        </w:rPr>
        <w:t xml:space="preserve">Where an internal report reveals names on the file who do not work, including arrangements made to meet a quota, the exposure runs to substantial penalties and criminal liability. This is not an internal matter to be quietly corrected.</w:t>
      </w:r>
    </w:p>
    <w:p>
      <w:pPr>
        <w:keepNext/>
        <w:spacing w:after="40" w:before="140"/>
      </w:pPr>
      <w:r>
        <w:rPr>
          <w:rFonts w:ascii="Calibri" w:cs="Calibri" w:eastAsia="Calibri" w:hAnsi="Calibri"/>
          <w:b/>
          <w:bCs/>
          <w:color w:val="14161B"/>
          <w:sz w:val="20"/>
          <w:szCs w:val="20"/>
        </w:rPr>
        <w:t xml:space="preserve">Issue it in the languages people read</w:t>
      </w:r>
    </w:p>
    <w:p>
      <w:pPr>
        <w:spacing w:after="60" w:line="264"/>
        <w:jc w:val="both"/>
      </w:pPr>
      <w:r>
        <w:rPr>
          <w:rFonts w:ascii="Calibri" w:cs="Calibri" w:eastAsia="Calibri" w:hAnsi="Calibri"/>
          <w:sz w:val="19"/>
          <w:szCs w:val="19"/>
        </w:rPr>
        <w:t xml:space="preserve">A speak-up policy circulated only in English to a multilingual workforce has been distributed, not communicated. Translate it, and accept reports in those languages.</w:t>
      </w:r>
    </w:p>
    <w:p>
      <w:pPr>
        <w:keepNext/>
        <w:spacing w:after="40" w:before="140"/>
      </w:pPr>
      <w:r>
        <w:rPr>
          <w:rFonts w:ascii="Calibri" w:cs="Calibri" w:eastAsia="Calibri" w:hAnsi="Calibri"/>
          <w:b/>
          <w:bCs/>
          <w:color w:val="14161B"/>
          <w:sz w:val="20"/>
          <w:szCs w:val="20"/>
        </w:rPr>
        <w:t xml:space="preserve">Review the register for patterns</w:t>
      </w:r>
    </w:p>
    <w:p>
      <w:pPr>
        <w:spacing w:after="60" w:line="264"/>
        <w:jc w:val="both"/>
      </w:pPr>
      <w:r>
        <w:rPr>
          <w:rFonts w:ascii="Calibri" w:cs="Calibri" w:eastAsia="Calibri" w:hAnsi="Calibri"/>
          <w:sz w:val="19"/>
          <w:szCs w:val="19"/>
        </w:rPr>
        <w:t xml:space="preserve">One report is an incident; the same area, team or individual recurring is a pattern that no individual investigation reveals. A quarterly review also checks whether the corrective actions actually happened.</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Arbitrary dismissal provisions, permitted disciplinary penalties, AML reporting obligations for designated businesses, data breach notification and the MOHRE complaint process all change — confirm the current position and take legal advice where a report reveals conduct that may need to be disclosed externally.</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2026-08-23T16:28:32.877Z</dcterms:created>
  <dcterms:modified xsi:type="dcterms:W3CDTF">2026-08-23T16:28:32.877Z</dcterms:modified>
</cp:coreProperties>
</file>

<file path=docProps/custom.xml><?xml version="1.0" encoding="utf-8"?>
<Properties xmlns="http://schemas.openxmlformats.org/officeDocument/2006/custom-properties" xmlns:vt="http://schemas.openxmlformats.org/officeDocument/2006/docPropsVTypes"/>
</file>