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SHAREHOLDERS’ AGREEMENT</w:t>
      </w:r>
    </w:p>
    <w:p>
      <w:pPr>
        <w:spacing w:after="260"/>
        <w:jc w:val="center"/>
      </w:pPr>
      <w:r>
        <w:rPr>
          <w:rFonts w:ascii="Calibri" w:cs="Calibri" w:eastAsia="Calibri" w:hAnsi="Calibri"/>
          <w:i/>
          <w:iCs/>
          <w:color w:val="6E7480"/>
          <w:sz w:val="19"/>
          <w:szCs w:val="19"/>
        </w:rPr>
        <w:t xml:space="preserve">Investors, control and exit</w:t>
      </w:r>
    </w:p>
    <w:p>
      <w:pPr>
        <w:spacing w:after="180" w:before="0" w:line="276"/>
        <w:jc w:val="both"/>
      </w:pPr>
      <w:r>
        <w:rPr>
          <w:rFonts w:ascii="Calibri" w:cs="Calibri" w:eastAsia="Calibri" w:hAnsi="Calibri"/>
          <w:i/>
          <w:iCs/>
          <w:color w:val="6E7480"/>
          <w:sz w:val="21"/>
          <w:szCs w:val="21"/>
        </w:rPr>
        <w:t xml:space="preserve">The structural question comes before the drafting. A </w:t>
      </w:r>
      <w:r>
        <w:rPr>
          <w:rFonts w:ascii="Calibri" w:cs="Calibri" w:eastAsia="Calibri" w:hAnsi="Calibri"/>
          <w:b/>
          <w:bCs/>
          <w:i/>
          <w:iCs/>
          <w:color w:val="6E7480"/>
          <w:sz w:val="21"/>
          <w:szCs w:val="21"/>
        </w:rPr>
        <w:t xml:space="preserve">mainland LLC</w:t>
      </w:r>
      <w:r>
        <w:rPr>
          <w:rFonts w:ascii="Calibri" w:cs="Calibri" w:eastAsia="Calibri" w:hAnsi="Calibri"/>
          <w:i/>
          <w:iCs/>
          <w:color w:val="6E7480"/>
          <w:sz w:val="21"/>
          <w:szCs w:val="21"/>
        </w:rPr>
        <w:t xml:space="preserve"> has inflexible share arrangements, notarised transfers and DED approval on every change — which is why most UAE venture deals are done at an </w:t>
      </w:r>
      <w:r>
        <w:rPr>
          <w:rFonts w:ascii="Calibri" w:cs="Calibri" w:eastAsia="Calibri" w:hAnsi="Calibri"/>
          <w:b/>
          <w:bCs/>
          <w:i/>
          <w:iCs/>
          <w:color w:val="6E7480"/>
          <w:sz w:val="21"/>
          <w:szCs w:val="21"/>
        </w:rPr>
        <w:t xml:space="preserve">ADGM or DIFC holding company</w:t>
      </w:r>
      <w:r>
        <w:rPr>
          <w:rFonts w:ascii="Calibri" w:cs="Calibri" w:eastAsia="Calibri" w:hAnsi="Calibri"/>
          <w:i/>
          <w:iCs/>
          <w:color w:val="6E7480"/>
          <w:sz w:val="21"/>
          <w:szCs w:val="21"/>
        </w:rPr>
        <w:t xml:space="preserve"> above the operating entity. Decide where this agreement sits before writing it.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[licence / registration]</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Jurisdiction of the company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LLC / Free zone / DIFC / ADGM]</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Is this the operating entity or a holdco?</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r>
              <w:rPr>
                <w:rFonts w:ascii="Calibri" w:cs="Calibri" w:eastAsia="Calibri" w:hAnsi="Calibri"/>
                <w:sz w:val="19"/>
                <w:szCs w:val="19"/>
              </w:rPr>
              <w:t xml:space="preserve"> — see Section 1</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Founders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Investors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Share classes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[Ordinary; Preference]</w:t>
            </w:r>
            <w:r>
              <w:rPr>
                <w:rFonts w:ascii="Calibri" w:cs="Calibri" w:eastAsia="Calibri" w:hAnsi="Calibri"/>
                <w:sz w:val="19"/>
                <w:szCs w:val="19"/>
              </w:rPr>
              <w:t xml:space="preserve"> — </w:t>
            </w:r>
            <w:r>
              <w:rPr>
                <w:rFonts w:ascii="Calibri" w:cs="Calibri" w:eastAsia="Calibri" w:hAnsi="Calibri"/>
                <w:i/>
                <w:iCs/>
                <w:sz w:val="19"/>
                <w:szCs w:val="19"/>
              </w:rPr>
              <w:t xml:space="preserve">check the entity permits classes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Board or managers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 </w:t>
            </w:r>
            <w:r>
              <w:rPr>
                <w:rFonts w:ascii="Calibri" w:cs="Calibri" w:eastAsia="Calibri" w:hAnsi="Calibri"/>
                <w:b/>
                <w:bCs/>
                <w:sz w:val="19"/>
                <w:szCs w:val="19"/>
              </w:rPr>
              <w:t xml:space="preserve">[composition]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Investor consent threshold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[Holders of a majority of the Preference Shares]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Drag threshold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[PERCENTAGE]</w:t>
            </w:r>
            <w:r>
              <w:rPr>
                <w:rFonts w:ascii="Calibri" w:cs="Calibri" w:eastAsia="Calibri" w:hAnsi="Calibri"/>
                <w:sz w:val="19"/>
                <w:szCs w:val="19"/>
              </w:rPr>
              <w:t xml:space="preserve"> </w:t>
            </w:r>
            <w:r>
              <w:rPr>
                <w:rFonts w:ascii="Calibri" w:cs="Calibri" w:eastAsia="Calibri" w:hAnsi="Calibri"/>
                <w:b/>
                <w:bCs/>
                <w:sz w:val="19"/>
                <w:szCs w:val="19"/>
              </w:rPr>
              <w:t xml:space="preserve">[including the Investor Majority]</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Constitution aligned 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Governing law and forum</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[DIFC / ADGM / Emirate of ______ / Arbitration]</w:t>
            </w:r>
          </w:p>
        </w:tc>
      </w:tr>
    </w:tbl>
    <w:p>
      <w:pPr>
        <w:spacing w:after="180"/>
      </w:pPr>
    </w:p>
    <w:p>
      <w:pPr>
        <w:keepNext/>
        <w:spacing w:after="120" w:before="280"/>
        <w:outlineLvl w:val="0"/>
      </w:pPr>
      <w:r>
        <w:rPr>
          <w:rFonts w:ascii="Calibri" w:cs="Calibri" w:eastAsia="Calibri" w:hAnsi="Calibri"/>
          <w:b/>
          <w:bCs/>
          <w:color w:val="14161B"/>
          <w:sz w:val="22"/>
          <w:szCs w:val="22"/>
        </w:rPr>
        <w:t xml:space="preserve">1. WHERE THIS AGREEMENT SHOULD SIT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1734"/>
        <w:gridCol w:w="5591"/>
      </w:tblGrid>
      <w:tr>
        <w:trPr>
          <w:cantSplit/>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Structure</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Workability</w:t>
            </w:r>
          </w:p>
        </w:tc>
        <w:tc>
          <w:tcPr>
            <w:tcW w:type="dxa" w:w="55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Mainland LLC</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Difficult</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 classes are constrained; every transfer needs notarisation and DED approval; option schemes are awkward; the MOA is the operative constitutional document and it is in Arabic</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Free zone company</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Varies by zone</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Some zones support classes and straightforward transfers; confirm with the zone before assuming</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ADGM or DIFC company</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Workable</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Common law, English language, familiar share structures, option pools, and courts that apply the agreement predictably</w:t>
            </w:r>
          </w:p>
        </w:tc>
      </w:tr>
      <w:tr>
        <w:trPr>
          <w:cantSplit/>
        </w:trP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Offshore holdco above a UAE operating entity</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Common</w:t>
            </w:r>
          </w:p>
        </w:tc>
        <w:tc>
          <w:tcPr>
            <w:tcW w:type="dxa" w:w="55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Investment sits above; the UAE entity operates. Adds a layer but solves the mechanics</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A shareholders’ agreement over a mainland LLC binds the parties contractually, but the MOA governs the company — and the MOA is notarised, in Arabic, and amended only before a notary with DED approval. Provisions in the agreement that the MOA does not reflect are difficult to give effect to.</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b/>
          <w:bCs/>
          <w:sz w:val="21"/>
          <w:szCs w:val="21"/>
        </w:rPr>
        <w:t xml:space="preserve">Decide the structure before drafting.</w:t>
      </w:r>
      <w:r>
        <w:rPr>
          <w:rFonts w:ascii="Calibri" w:cs="Calibri" w:eastAsia="Calibri" w:hAnsi="Calibri"/>
          <w:sz w:val="21"/>
          <w:szCs w:val="21"/>
        </w:rPr>
        <w:t xml:space="preserve"> Retrofitting a holdco after an investment has closed is materially harder than building it first.</w:t>
      </w:r>
    </w:p>
    <w:p>
      <w:pPr>
        <w:keepNext/>
        <w:spacing w:after="120" w:before="280"/>
        <w:outlineLvl w:val="0"/>
      </w:pPr>
      <w:r>
        <w:rPr>
          <w:rFonts w:ascii="Calibri" w:cs="Calibri" w:eastAsia="Calibri" w:hAnsi="Calibri"/>
          <w:b/>
          <w:bCs/>
          <w:color w:val="14161B"/>
          <w:sz w:val="22"/>
          <w:szCs w:val="22"/>
        </w:rPr>
        <w:t xml:space="preserve">2. RELATIONSHIP WITH THE CONSTITUTIONAL DOCUMENTS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parties shall exercise their rights so as to give effect to this agreement, and shall procure that the </w:t>
      </w:r>
      <w:r>
        <w:rPr>
          <w:rFonts w:ascii="Calibri" w:cs="Calibri" w:eastAsia="Calibri" w:hAnsi="Calibri"/>
          <w:b/>
          <w:bCs/>
          <w:sz w:val="21"/>
          <w:szCs w:val="21"/>
        </w:rPr>
        <w:t xml:space="preserve">[Memorandum of Association / Articles]</w:t>
      </w:r>
      <w:r>
        <w:rPr>
          <w:rFonts w:ascii="Calibri" w:cs="Calibri" w:eastAsia="Calibri" w:hAnsi="Calibri"/>
          <w:sz w:val="21"/>
          <w:szCs w:val="21"/>
        </w:rPr>
        <w:t xml:space="preserve"> are amended to be consistent with it.</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As between the parties </w:t>
      </w:r>
      <w:r>
        <w:rPr>
          <w:rFonts w:ascii="Calibri" w:cs="Calibri" w:eastAsia="Calibri" w:hAnsi="Calibri"/>
          <w:b/>
          <w:bCs/>
          <w:sz w:val="21"/>
          <w:szCs w:val="21"/>
        </w:rPr>
        <w:t xml:space="preserve">this agreement prevails</w:t>
      </w:r>
      <w:r>
        <w:rPr>
          <w:rFonts w:ascii="Calibri" w:cs="Calibri" w:eastAsia="Calibri" w:hAnsi="Calibri"/>
          <w:sz w:val="21"/>
          <w:szCs w:val="21"/>
        </w:rPr>
        <w:t xml:space="preserve">. As regards the company and third parties, the constitutional document governs.</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Any amendment requiring a corresponding constitutional change shall be made at the same time, </w:t>
      </w:r>
      <w:r>
        <w:rPr>
          <w:rFonts w:ascii="Calibri" w:cs="Calibri" w:eastAsia="Calibri" w:hAnsi="Calibri"/>
          <w:b/>
          <w:bCs/>
          <w:sz w:val="21"/>
          <w:szCs w:val="21"/>
        </w:rPr>
        <w:t xml:space="preserve">including notarisation and authority approval where the entity is a mainland LLC</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3. BOARD AND MANAGEMENT</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w:t>
      </w:r>
      <w:r>
        <w:rPr>
          <w:rFonts w:ascii="Calibri" w:cs="Calibri" w:eastAsia="Calibri" w:hAnsi="Calibri"/>
          <w:b/>
          <w:bCs/>
          <w:sz w:val="21"/>
          <w:szCs w:val="21"/>
        </w:rPr>
        <w:t xml:space="preserve">[board / managers]</w:t>
      </w:r>
      <w:r>
        <w:rPr>
          <w:rFonts w:ascii="Calibri" w:cs="Calibri" w:eastAsia="Calibri" w:hAnsi="Calibri"/>
          <w:sz w:val="21"/>
          <w:szCs w:val="21"/>
        </w:rPr>
        <w:t xml:space="preserve"> shall comprise </w:t>
      </w:r>
      <w:r>
        <w:rPr>
          <w:rFonts w:ascii="Calibri" w:cs="Calibri" w:eastAsia="Calibri" w:hAnsi="Calibri"/>
          <w:b/>
          <w:bCs/>
          <w:sz w:val="21"/>
          <w:szCs w:val="21"/>
        </w:rPr>
        <w:t xml:space="preserve">[NUMBER]</w:t>
      </w:r>
      <w:r>
        <w:rPr>
          <w:rFonts w:ascii="Calibri" w:cs="Calibri" w:eastAsia="Calibri" w:hAnsi="Calibri"/>
          <w:sz w:val="21"/>
          <w:szCs w:val="21"/>
        </w:rPr>
        <w:t xml:space="preserve">: </w:t>
      </w:r>
      <w:r>
        <w:rPr>
          <w:rFonts w:ascii="Calibri" w:cs="Calibri" w:eastAsia="Calibri" w:hAnsi="Calibri"/>
          <w:b/>
          <w:bCs/>
          <w:sz w:val="21"/>
          <w:szCs w:val="21"/>
        </w:rPr>
        <w:t xml:space="preserve">[NUMBER]</w:t>
      </w:r>
      <w:r>
        <w:rPr>
          <w:rFonts w:ascii="Calibri" w:cs="Calibri" w:eastAsia="Calibri" w:hAnsi="Calibri"/>
          <w:sz w:val="21"/>
          <w:szCs w:val="21"/>
        </w:rPr>
        <w:t xml:space="preserve"> appointed by the Founders, </w:t>
      </w:r>
      <w:r>
        <w:rPr>
          <w:rFonts w:ascii="Calibri" w:cs="Calibri" w:eastAsia="Calibri" w:hAnsi="Calibri"/>
          <w:b/>
          <w:bCs/>
          <w:sz w:val="21"/>
          <w:szCs w:val="21"/>
        </w:rPr>
        <w:t xml:space="preserve">[NUMBER]</w:t>
      </w:r>
      <w:r>
        <w:rPr>
          <w:rFonts w:ascii="Calibri" w:cs="Calibri" w:eastAsia="Calibri" w:hAnsi="Calibri"/>
          <w:sz w:val="21"/>
          <w:szCs w:val="21"/>
        </w:rPr>
        <w:t xml:space="preserve"> by the Investor Majority, and </w:t>
      </w:r>
      <w:r>
        <w:rPr>
          <w:rFonts w:ascii="Calibri" w:cs="Calibri" w:eastAsia="Calibri" w:hAnsi="Calibri"/>
          <w:b/>
          <w:bCs/>
          <w:sz w:val="21"/>
          <w:szCs w:val="21"/>
        </w:rPr>
        <w:t xml:space="preserve">[NUMBER]</w:t>
      </w:r>
      <w:r>
        <w:rPr>
          <w:rFonts w:ascii="Calibri" w:cs="Calibri" w:eastAsia="Calibri" w:hAnsi="Calibri"/>
          <w:sz w:val="21"/>
          <w:szCs w:val="21"/>
        </w:rPr>
        <w:t xml:space="preserve"> independent appointed by agreement.</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[Mainland]</w:t>
      </w:r>
      <w:r>
        <w:rPr>
          <w:rFonts w:ascii="Calibri" w:cs="Calibri" w:eastAsia="Calibri" w:hAnsi="Calibri"/>
          <w:sz w:val="21"/>
          <w:szCs w:val="21"/>
        </w:rPr>
        <w:t xml:space="preserve"> At least one manager shall be named on the trade licence, and changes require notarisation and licence amendment.</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Quorum is </w:t>
      </w:r>
      <w:r>
        <w:rPr>
          <w:rFonts w:ascii="Calibri" w:cs="Calibri" w:eastAsia="Calibri" w:hAnsi="Calibri"/>
          <w:b/>
          <w:bCs/>
          <w:sz w:val="21"/>
          <w:szCs w:val="21"/>
        </w:rPr>
        <w:t xml:space="preserve">[NUMBER]</w:t>
      </w:r>
      <w:r>
        <w:rPr>
          <w:rFonts w:ascii="Calibri" w:cs="Calibri" w:eastAsia="Calibri" w:hAnsi="Calibri"/>
          <w:sz w:val="21"/>
          <w:szCs w:val="21"/>
        </w:rPr>
        <w:t xml:space="preserve">, of whom at least one shall be an Investor Director, provided that if quorum fails at two consecutive properly convened meetings, the quorum at the next shall be any </w:t>
      </w:r>
      <w:r>
        <w:rPr>
          <w:rFonts w:ascii="Calibri" w:cs="Calibri" w:eastAsia="Calibri" w:hAnsi="Calibri"/>
          <w:b/>
          <w:bCs/>
          <w:sz w:val="21"/>
          <w:szCs w:val="21"/>
        </w:rPr>
        <w:t xml:space="preserve">[NUMBER]</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Meetings shall be held at least </w:t>
      </w:r>
      <w:r>
        <w:rPr>
          <w:rFonts w:ascii="Calibri" w:cs="Calibri" w:eastAsia="Calibri" w:hAnsi="Calibri"/>
          <w:b/>
          <w:bCs/>
          <w:sz w:val="21"/>
          <w:szCs w:val="21"/>
        </w:rPr>
        <w:t xml:space="preserve">[quarterly]</w:t>
      </w:r>
      <w:r>
        <w:rPr>
          <w:rFonts w:ascii="Calibri" w:cs="Calibri" w:eastAsia="Calibri" w:hAnsi="Calibri"/>
          <w:sz w:val="21"/>
          <w:szCs w:val="21"/>
        </w:rPr>
        <w:t xml:space="preserve"> on </w:t>
      </w:r>
      <w:r>
        <w:rPr>
          <w:rFonts w:ascii="Calibri" w:cs="Calibri" w:eastAsia="Calibri" w:hAnsi="Calibri"/>
          <w:b/>
          <w:bCs/>
          <w:sz w:val="21"/>
          <w:szCs w:val="21"/>
        </w:rPr>
        <w:t xml:space="preserve">[7]</w:t>
      </w:r>
      <w:r>
        <w:rPr>
          <w:rFonts w:ascii="Calibri" w:cs="Calibri" w:eastAsia="Calibri" w:hAnsi="Calibri"/>
          <w:sz w:val="21"/>
          <w:szCs w:val="21"/>
        </w:rPr>
        <w:t xml:space="preserve"> days notice with papers circulated in advance.</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The Company shall maintain directors’ and officers’ liability insurance.</w:t>
      </w:r>
    </w:p>
    <w:p>
      <w:pPr>
        <w:keepNext/>
        <w:spacing w:after="120" w:before="280"/>
        <w:outlineLvl w:val="0"/>
      </w:pPr>
      <w:r>
        <w:rPr>
          <w:rFonts w:ascii="Calibri" w:cs="Calibri" w:eastAsia="Calibri" w:hAnsi="Calibri"/>
          <w:b/>
          <w:bCs/>
          <w:color w:val="14161B"/>
          <w:sz w:val="22"/>
          <w:szCs w:val="22"/>
        </w:rPr>
        <w:t xml:space="preserve">4. RESERVED MATTERS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Company shall not, without the prior written consent of the </w:t>
      </w:r>
      <w:r>
        <w:rPr>
          <w:rFonts w:ascii="Calibri" w:cs="Calibri" w:eastAsia="Calibri" w:hAnsi="Calibri"/>
          <w:b/>
          <w:bCs/>
          <w:sz w:val="21"/>
          <w:szCs w:val="21"/>
        </w:rPr>
        <w:t xml:space="preserve">[Investor Majority]</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amend the constitutional documents or the rights of any class;</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issue shares or create a new class;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increase the employee equity pool;</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declare a dividend;</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wind up, merge, or sell the business or substantially all assets;</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change the nature of the business, or the licensed activities;</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borrow or grant security above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(h)	</w:t>
      </w:r>
      <w:r>
        <w:rPr>
          <w:rFonts w:ascii="Calibri" w:cs="Calibri" w:eastAsia="Calibri" w:hAnsi="Calibri"/>
          <w:sz w:val="21"/>
          <w:szCs w:val="21"/>
        </w:rPr>
        <w:t xml:space="preserve">commit capital expenditure outside the approved budget above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(i)	</w:t>
      </w:r>
      <w:r>
        <w:rPr>
          <w:rFonts w:ascii="Calibri" w:cs="Calibri" w:eastAsia="Calibri" w:hAnsi="Calibri"/>
          <w:sz w:val="21"/>
          <w:szCs w:val="21"/>
        </w:rPr>
        <w:t xml:space="preserve">enter into a related party transaction;</w:t>
      </w:r>
    </w:p>
    <w:p>
      <w:pPr>
        <w:spacing w:after="100" w:before="40" w:line="276"/>
        <w:ind w:left="1440" w:hanging="720"/>
        <w:jc w:val="both"/>
      </w:pPr>
      <w:r>
        <w:rPr>
          <w:rFonts w:ascii="Calibri" w:cs="Calibri" w:eastAsia="Calibri" w:hAnsi="Calibri"/>
          <w:sz w:val="21"/>
          <w:szCs w:val="21"/>
        </w:rPr>
        <w:t xml:space="preserve">(j)	</w:t>
      </w:r>
      <w:r>
        <w:rPr>
          <w:rFonts w:ascii="Calibri" w:cs="Calibri" w:eastAsia="Calibri" w:hAnsi="Calibri"/>
          <w:sz w:val="21"/>
          <w:szCs w:val="21"/>
        </w:rPr>
        <w:t xml:space="preserve">appoint or remove the chief executive; or</w:t>
      </w:r>
    </w:p>
    <w:p>
      <w:pPr>
        <w:spacing w:after="100" w:before="40" w:line="276"/>
        <w:ind w:left="1440" w:hanging="720"/>
        <w:jc w:val="both"/>
      </w:pPr>
      <w:r>
        <w:rPr>
          <w:rFonts w:ascii="Calibri" w:cs="Calibri" w:eastAsia="Calibri" w:hAnsi="Calibri"/>
          <w:sz w:val="21"/>
          <w:szCs w:val="21"/>
        </w:rPr>
        <w:t xml:space="preserve">(k)	</w:t>
      </w:r>
      <w:r>
        <w:rPr>
          <w:rFonts w:ascii="Calibri" w:cs="Calibri" w:eastAsia="Calibri" w:hAnsi="Calibri"/>
          <w:sz w:val="21"/>
          <w:szCs w:val="21"/>
        </w:rPr>
        <w:t xml:space="preserve">establish a subsidiary or acquire a business.</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Where consent is not refused within </w:t>
      </w:r>
      <w:r>
        <w:rPr>
          <w:rFonts w:ascii="Calibri" w:cs="Calibri" w:eastAsia="Calibri" w:hAnsi="Calibri"/>
          <w:b/>
          <w:bCs/>
          <w:sz w:val="21"/>
          <w:szCs w:val="21"/>
        </w:rPr>
        <w:t xml:space="preserve">[10]</w:t>
      </w:r>
      <w:r>
        <w:rPr>
          <w:rFonts w:ascii="Calibri" w:cs="Calibri" w:eastAsia="Calibri" w:hAnsi="Calibri"/>
          <w:sz w:val="21"/>
          <w:szCs w:val="21"/>
        </w:rPr>
        <w:t xml:space="preserve"> business days of a written request containing reasonable particulars, it is </w:t>
      </w:r>
      <w:r>
        <w:rPr>
          <w:rFonts w:ascii="Calibri" w:cs="Calibri" w:eastAsia="Calibri" w:hAnsi="Calibri"/>
          <w:b/>
          <w:bCs/>
          <w:sz w:val="21"/>
          <w:szCs w:val="21"/>
        </w:rPr>
        <w:t xml:space="preserve">deemed given</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i/>
          <w:iCs/>
          <w:sz w:val="21"/>
          <w:szCs w:val="21"/>
        </w:rPr>
        <w:t xml:space="preserve">Clause 4.2 prevents paralysis. Without it an unresponsive investor — a fund wound down, a partner departed — can stop the company acting at all.</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INFORMATION</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Company shall provide monthly management accounts within </w:t>
      </w:r>
      <w:r>
        <w:rPr>
          <w:rFonts w:ascii="Calibri" w:cs="Calibri" w:eastAsia="Calibri" w:hAnsi="Calibri"/>
          <w:b/>
          <w:bCs/>
          <w:sz w:val="21"/>
          <w:szCs w:val="21"/>
        </w:rPr>
        <w:t xml:space="preserve">[30]</w:t>
      </w:r>
      <w:r>
        <w:rPr>
          <w:rFonts w:ascii="Calibri" w:cs="Calibri" w:eastAsia="Calibri" w:hAnsi="Calibri"/>
          <w:sz w:val="21"/>
          <w:szCs w:val="21"/>
        </w:rPr>
        <w:t xml:space="preserve"> days, annual financial statements within </w:t>
      </w:r>
      <w:r>
        <w:rPr>
          <w:rFonts w:ascii="Calibri" w:cs="Calibri" w:eastAsia="Calibri" w:hAnsi="Calibri"/>
          <w:b/>
          <w:bCs/>
          <w:sz w:val="21"/>
          <w:szCs w:val="21"/>
        </w:rPr>
        <w:t xml:space="preserve">[120]</w:t>
      </w:r>
      <w:r>
        <w:rPr>
          <w:rFonts w:ascii="Calibri" w:cs="Calibri" w:eastAsia="Calibri" w:hAnsi="Calibri"/>
          <w:sz w:val="21"/>
          <w:szCs w:val="21"/>
        </w:rPr>
        <w:t xml:space="preserve"> days, an annual budget before the year end, and prompt notice of any material adverse event, litigation or breach.</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Company shall maintain an up-to-date cap table and provide it on request.</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Information rights are subject to confidentiality, and may be suspended by the board acting reasonably where a shareholder becomes a competitor.</w:t>
      </w:r>
    </w:p>
    <w:p>
      <w:pPr>
        <w:keepNext/>
        <w:spacing w:after="120" w:before="280"/>
        <w:outlineLvl w:val="0"/>
      </w:pPr>
      <w:r>
        <w:rPr>
          <w:rFonts w:ascii="Calibri" w:cs="Calibri" w:eastAsia="Calibri" w:hAnsi="Calibri"/>
          <w:b/>
          <w:bCs/>
          <w:color w:val="14161B"/>
          <w:sz w:val="22"/>
          <w:szCs w:val="22"/>
        </w:rPr>
        <w:t xml:space="preserve">6. ISSUE AND TRANSFER OF SHARES</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b/>
          <w:bCs/>
          <w:sz w:val="21"/>
          <w:szCs w:val="21"/>
        </w:rPr>
        <w:t xml:space="preserve">Pre-emption on issue.</w:t>
      </w:r>
      <w:r>
        <w:rPr>
          <w:rFonts w:ascii="Calibri" w:cs="Calibri" w:eastAsia="Calibri" w:hAnsi="Calibri"/>
          <w:sz w:val="21"/>
          <w:szCs w:val="21"/>
        </w:rPr>
        <w:t xml:space="preserve"> New shares shall first be offered to existing shareholders pro rata on the same terms, with not less than </w:t>
      </w:r>
      <w:r>
        <w:rPr>
          <w:rFonts w:ascii="Calibri" w:cs="Calibri" w:eastAsia="Calibri" w:hAnsi="Calibri"/>
          <w:b/>
          <w:bCs/>
          <w:sz w:val="21"/>
          <w:szCs w:val="21"/>
        </w:rPr>
        <w:t xml:space="preserve">[15]</w:t>
      </w:r>
      <w:r>
        <w:rPr>
          <w:rFonts w:ascii="Calibri" w:cs="Calibri" w:eastAsia="Calibri" w:hAnsi="Calibri"/>
          <w:sz w:val="21"/>
          <w:szCs w:val="21"/>
        </w:rPr>
        <w:t xml:space="preserve"> business days to accept.</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Pre-emption does not apply to shares issued under an approved employee scheme, on conversion of a convertible instrument, or as the parties unanimously agree.</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b/>
          <w:bCs/>
          <w:sz w:val="21"/>
          <w:szCs w:val="21"/>
        </w:rPr>
        <w:t xml:space="preserve">Lock-up.</w:t>
      </w:r>
      <w:r>
        <w:rPr>
          <w:rFonts w:ascii="Calibri" w:cs="Calibri" w:eastAsia="Calibri" w:hAnsi="Calibri"/>
          <w:sz w:val="21"/>
          <w:szCs w:val="21"/>
        </w:rPr>
        <w:t xml:space="preserve"> No Founder shall transfer before </w:t>
      </w:r>
      <w:r>
        <w:rPr>
          <w:rFonts w:ascii="Calibri" w:cs="Calibri" w:eastAsia="Calibri" w:hAnsi="Calibri"/>
          <w:b/>
          <w:bCs/>
          <w:sz w:val="21"/>
          <w:szCs w:val="21"/>
        </w:rPr>
        <w:t xml:space="preserve">[DATE]</w:t>
      </w:r>
      <w:r>
        <w:rPr>
          <w:rFonts w:ascii="Calibri" w:cs="Calibri" w:eastAsia="Calibri" w:hAnsi="Calibri"/>
          <w:sz w:val="21"/>
          <w:szCs w:val="21"/>
        </w:rPr>
        <w:t xml:space="preserve"> without the Investor Majority’s consent.</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b/>
          <w:bCs/>
          <w:sz w:val="21"/>
          <w:szCs w:val="21"/>
        </w:rPr>
        <w:t xml:space="preserve">Pre-emption on transfer.</w:t>
      </w:r>
      <w:r>
        <w:rPr>
          <w:rFonts w:ascii="Calibri" w:cs="Calibri" w:eastAsia="Calibri" w:hAnsi="Calibri"/>
          <w:sz w:val="21"/>
          <w:szCs w:val="21"/>
        </w:rPr>
        <w:t xml:space="preserve"> A shareholder wishing to transfer shall first offer to the others pro rata at the price of any bona fide third party offer.</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b/>
          <w:bCs/>
          <w:sz w:val="21"/>
          <w:szCs w:val="21"/>
        </w:rPr>
        <w:t xml:space="preserve">Tag-along.</w:t>
      </w:r>
      <w:r>
        <w:rPr>
          <w:rFonts w:ascii="Calibri" w:cs="Calibri" w:eastAsia="Calibri" w:hAnsi="Calibri"/>
          <w:sz w:val="21"/>
          <w:szCs w:val="21"/>
        </w:rPr>
        <w:t xml:space="preserve"> Where holders of more than </w:t>
      </w:r>
      <w:r>
        <w:rPr>
          <w:rFonts w:ascii="Calibri" w:cs="Calibri" w:eastAsia="Calibri" w:hAnsi="Calibri"/>
          <w:b/>
          <w:bCs/>
          <w:sz w:val="21"/>
          <w:szCs w:val="21"/>
        </w:rPr>
        <w:t xml:space="preserve">[50]</w:t>
      </w:r>
      <w:r>
        <w:rPr>
          <w:rFonts w:ascii="Calibri" w:cs="Calibri" w:eastAsia="Calibri" w:hAnsi="Calibri"/>
          <w:sz w:val="21"/>
          <w:szCs w:val="21"/>
        </w:rPr>
        <w:t xml:space="preserve"> per cent propose to transfer to a third party, the others may require the buyer to purchase their shares pro rata on the same terms. </w:t>
      </w:r>
      <w:r>
        <w:rPr>
          <w:rFonts w:ascii="Calibri" w:cs="Calibri" w:eastAsia="Calibri" w:hAnsi="Calibri"/>
          <w:b/>
          <w:bCs/>
          <w:sz w:val="21"/>
          <w:szCs w:val="21"/>
        </w:rPr>
        <w:t xml:space="preserve">A transfer without offering tag rights is void.</w:t>
      </w:r>
    </w:p>
    <w:p>
      <w:pPr>
        <w:spacing w:after="120" w:before="60" w:line="276"/>
        <w:ind w:left="720" w:hanging="720"/>
        <w:jc w:val="both"/>
      </w:pPr>
      <w:r>
        <w:rPr>
          <w:rFonts w:ascii="Calibri" w:cs="Calibri" w:eastAsia="Calibri" w:hAnsi="Calibri"/>
          <w:sz w:val="21"/>
          <w:szCs w:val="21"/>
        </w:rPr>
        <w:t xml:space="preserve">6.6	</w:t>
      </w:r>
      <w:r>
        <w:rPr>
          <w:rFonts w:ascii="Calibri" w:cs="Calibri" w:eastAsia="Calibri" w:hAnsi="Calibri"/>
          <w:b/>
          <w:bCs/>
          <w:sz w:val="21"/>
          <w:szCs w:val="21"/>
        </w:rPr>
        <w:t xml:space="preserve">Drag-along.</w:t>
      </w:r>
      <w:r>
        <w:rPr>
          <w:rFonts w:ascii="Calibri" w:cs="Calibri" w:eastAsia="Calibri" w:hAnsi="Calibri"/>
          <w:sz w:val="21"/>
          <w:szCs w:val="21"/>
        </w:rPr>
        <w:t xml:space="preserve"> Where holders of </w:t>
      </w:r>
      <w:r>
        <w:rPr>
          <w:rFonts w:ascii="Calibri" w:cs="Calibri" w:eastAsia="Calibri" w:hAnsi="Calibri"/>
          <w:b/>
          <w:bCs/>
          <w:sz w:val="21"/>
          <w:szCs w:val="21"/>
        </w:rPr>
        <w:t xml:space="preserve">[75]</w:t>
      </w:r>
      <w:r>
        <w:rPr>
          <w:rFonts w:ascii="Calibri" w:cs="Calibri" w:eastAsia="Calibri" w:hAnsi="Calibri"/>
          <w:sz w:val="21"/>
          <w:szCs w:val="21"/>
        </w:rPr>
        <w:t xml:space="preserve"> per cent </w:t>
      </w:r>
      <w:r>
        <w:rPr>
          <w:rFonts w:ascii="Calibri" w:cs="Calibri" w:eastAsia="Calibri" w:hAnsi="Calibri"/>
          <w:b/>
          <w:bCs/>
          <w:sz w:val="21"/>
          <w:szCs w:val="21"/>
        </w:rPr>
        <w:t xml:space="preserve">[including the Investor Majority]</w:t>
      </w:r>
      <w:r>
        <w:rPr>
          <w:rFonts w:ascii="Calibri" w:cs="Calibri" w:eastAsia="Calibri" w:hAnsi="Calibri"/>
          <w:sz w:val="21"/>
          <w:szCs w:val="21"/>
        </w:rPr>
        <w:t xml:space="preserve"> accept a bona fide arm’s length offer for all the shares, they may require the others to sell on the same terms.</w:t>
      </w:r>
    </w:p>
    <w:p>
      <w:pPr>
        <w:spacing w:after="120" w:before="60" w:line="276"/>
        <w:ind w:left="720" w:hanging="720"/>
        <w:jc w:val="both"/>
      </w:pPr>
      <w:r>
        <w:rPr>
          <w:rFonts w:ascii="Calibri" w:cs="Calibri" w:eastAsia="Calibri" w:hAnsi="Calibri"/>
          <w:sz w:val="21"/>
          <w:szCs w:val="21"/>
        </w:rPr>
        <w:t xml:space="preserve">6.7	</w:t>
      </w:r>
      <w:r>
        <w:rPr>
          <w:rFonts w:ascii="Calibri" w:cs="Calibri" w:eastAsia="Calibri" w:hAnsi="Calibri"/>
          <w:sz w:val="21"/>
          <w:szCs w:val="21"/>
        </w:rPr>
        <w:t xml:space="preserve">A dragged shareholder shall not give warranties beyond title and capacity, and any liability shall be </w:t>
      </w:r>
      <w:r>
        <w:rPr>
          <w:rFonts w:ascii="Calibri" w:cs="Calibri" w:eastAsia="Calibri" w:hAnsi="Calibri"/>
          <w:b/>
          <w:bCs/>
          <w:sz w:val="21"/>
          <w:szCs w:val="21"/>
        </w:rPr>
        <w:t xml:space="preserve">several and capped at the consideration received</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6.8	</w:t>
      </w:r>
      <w:r>
        <w:rPr>
          <w:rFonts w:ascii="Calibri" w:cs="Calibri" w:eastAsia="Calibri" w:hAnsi="Calibri"/>
          <w:sz w:val="21"/>
          <w:szCs w:val="21"/>
        </w:rPr>
        <w:t xml:space="preserve">No transfer is effective until the transferee executes a </w:t>
      </w:r>
      <w:r>
        <w:rPr>
          <w:rFonts w:ascii="Calibri" w:cs="Calibri" w:eastAsia="Calibri" w:hAnsi="Calibri"/>
          <w:b/>
          <w:bCs/>
          <w:sz w:val="21"/>
          <w:szCs w:val="21"/>
        </w:rPr>
        <w:t xml:space="preserve">deed of adherence</w:t>
      </w:r>
      <w:r>
        <w:rPr>
          <w:rFonts w:ascii="Calibri" w:cs="Calibri" w:eastAsia="Calibri" w:hAnsi="Calibri"/>
          <w:sz w:val="21"/>
          <w:szCs w:val="21"/>
        </w:rPr>
        <w:t xml:space="preserve">, and </w:t>
      </w:r>
      <w:r>
        <w:rPr>
          <w:rFonts w:ascii="Calibri" w:cs="Calibri" w:eastAsia="Calibri" w:hAnsi="Calibri"/>
          <w:b/>
          <w:bCs/>
          <w:sz w:val="21"/>
          <w:szCs w:val="21"/>
        </w:rPr>
        <w:t xml:space="preserve">[where mainland]</w:t>
      </w:r>
      <w:r>
        <w:rPr>
          <w:rFonts w:ascii="Calibri" w:cs="Calibri" w:eastAsia="Calibri" w:hAnsi="Calibri"/>
          <w:b/>
          <w:bCs/>
          <w:sz w:val="21"/>
          <w:szCs w:val="21"/>
        </w:rPr>
        <w:t xml:space="preserve"> until notarised and approved by the DED and the licence amended</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6.9	</w:t>
      </w:r>
      <w:r>
        <w:rPr>
          <w:rFonts w:ascii="Calibri" w:cs="Calibri" w:eastAsia="Calibri" w:hAnsi="Calibri"/>
          <w:i/>
          <w:iCs/>
          <w:sz w:val="21"/>
          <w:szCs w:val="21"/>
        </w:rPr>
        <w:t xml:space="preserve">Clause 6.8 is where mainland structures bite. A transfer agreed and signed is not effective until the notary and the authority have done their part, which takes weeks and requires the parties or attested attorneys to attend.</w:t>
      </w:r>
    </w:p>
    <w:p>
      <w:pPr>
        <w:keepNext/>
        <w:spacing w:after="120" w:before="280"/>
        <w:outlineLvl w:val="0"/>
      </w:pPr>
      <w:r>
        <w:rPr>
          <w:rFonts w:ascii="Calibri" w:cs="Calibri" w:eastAsia="Calibri" w:hAnsi="Calibri"/>
          <w:b/>
          <w:bCs/>
          <w:color w:val="14161B"/>
          <w:sz w:val="22"/>
          <w:szCs w:val="22"/>
        </w:rPr>
        <w:t xml:space="preserve">7. FOUNDERS</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Each Founder shall devote their full working time to the Company and shall not engage in a competing business.</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Founder shares are subject to vesting over </w:t>
      </w:r>
      <w:r>
        <w:rPr>
          <w:rFonts w:ascii="Calibri" w:cs="Calibri" w:eastAsia="Calibri" w:hAnsi="Calibri"/>
          <w:b/>
          <w:bCs/>
          <w:sz w:val="21"/>
          <w:szCs w:val="21"/>
        </w:rPr>
        <w:t xml:space="preserve">[4]</w:t>
      </w:r>
      <w:r>
        <w:rPr>
          <w:rFonts w:ascii="Calibri" w:cs="Calibri" w:eastAsia="Calibri" w:hAnsi="Calibri"/>
          <w:sz w:val="21"/>
          <w:szCs w:val="21"/>
        </w:rPr>
        <w:t xml:space="preserve"> years with </w:t>
      </w:r>
      <w:r>
        <w:rPr>
          <w:rFonts w:ascii="Calibri" w:cs="Calibri" w:eastAsia="Calibri" w:hAnsi="Calibri"/>
          <w:b/>
          <w:bCs/>
          <w:sz w:val="21"/>
          <w:szCs w:val="21"/>
        </w:rPr>
        <w:t xml:space="preserve">[12]</w:t>
      </w:r>
      <w:r>
        <w:rPr>
          <w:rFonts w:ascii="Calibri" w:cs="Calibri" w:eastAsia="Calibri" w:hAnsi="Calibri"/>
          <w:sz w:val="21"/>
          <w:szCs w:val="21"/>
        </w:rPr>
        <w:t xml:space="preserve"> months credited for service already given, and to buyback of unvested shares at </w:t>
      </w:r>
      <w:r>
        <w:rPr>
          <w:rFonts w:ascii="Calibri" w:cs="Calibri" w:eastAsia="Calibri" w:hAnsi="Calibri"/>
          <w:b/>
          <w:bCs/>
          <w:sz w:val="21"/>
          <w:szCs w:val="21"/>
        </w:rPr>
        <w:t xml:space="preserve">[nominal value]</w:t>
      </w:r>
      <w:r>
        <w:rPr>
          <w:rFonts w:ascii="Calibri" w:cs="Calibri" w:eastAsia="Calibri" w:hAnsi="Calibri"/>
          <w:sz w:val="21"/>
          <w:szCs w:val="21"/>
        </w:rPr>
        <w:t xml:space="preserve"> on cessation.</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Each Founder assigns to the Company all intellectual property relating to its business, created before or after incorporation.</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For </w:t>
      </w:r>
      <w:r>
        <w:rPr>
          <w:rFonts w:ascii="Calibri" w:cs="Calibri" w:eastAsia="Calibri" w:hAnsi="Calibri"/>
          <w:b/>
          <w:bCs/>
          <w:sz w:val="21"/>
          <w:szCs w:val="21"/>
        </w:rPr>
        <w:t xml:space="preserve">[12]</w:t>
      </w:r>
      <w:r>
        <w:rPr>
          <w:rFonts w:ascii="Calibri" w:cs="Calibri" w:eastAsia="Calibri" w:hAnsi="Calibri"/>
          <w:sz w:val="21"/>
          <w:szCs w:val="21"/>
        </w:rPr>
        <w:t xml:space="preserve"> months after ceasing to be involved, a Founder shall not solicit customers or employees with whom they dealt.</w:t>
      </w:r>
    </w:p>
    <w:p>
      <w:pPr>
        <w:spacing w:after="120" w:before="60" w:line="276"/>
        <w:ind w:left="720" w:hanging="720"/>
        <w:jc w:val="both"/>
      </w:pPr>
      <w:r>
        <w:rPr>
          <w:rFonts w:ascii="Calibri" w:cs="Calibri" w:eastAsia="Calibri" w:hAnsi="Calibri"/>
          <w:sz w:val="21"/>
          <w:szCs w:val="21"/>
        </w:rPr>
        <w:t xml:space="preserve">7.5	</w:t>
      </w:r>
      <w:r>
        <w:rPr>
          <w:rFonts w:ascii="Calibri" w:cs="Calibri" w:eastAsia="Calibri" w:hAnsi="Calibri"/>
          <w:i/>
          <w:iCs/>
          <w:sz w:val="21"/>
          <w:szCs w:val="21"/>
        </w:rPr>
        <w:t xml:space="preserve">Founder vesting over a mainland LLC is difficult to operate, because a buyback requires a notarised transfer. This is another reason the equity layer usually sits at a DIFC, ADGM or offshore holdco.</w:t>
      </w:r>
    </w:p>
    <w:p>
      <w:pPr>
        <w:keepNext/>
        <w:spacing w:after="120" w:before="280"/>
        <w:outlineLvl w:val="0"/>
      </w:pPr>
      <w:r>
        <w:rPr>
          <w:rFonts w:ascii="Calibri" w:cs="Calibri" w:eastAsia="Calibri" w:hAnsi="Calibri"/>
          <w:b/>
          <w:bCs/>
          <w:color w:val="14161B"/>
          <w:sz w:val="22"/>
          <w:szCs w:val="22"/>
        </w:rPr>
        <w:t xml:space="preserve">8. EXIT</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The parties shall use reasonable efforts to achieve an exit by </w:t>
      </w:r>
      <w:r>
        <w:rPr>
          <w:rFonts w:ascii="Calibri" w:cs="Calibri" w:eastAsia="Calibri" w:hAnsi="Calibri"/>
          <w:b/>
          <w:bCs/>
          <w:sz w:val="21"/>
          <w:szCs w:val="21"/>
        </w:rPr>
        <w:t xml:space="preserve">[DATE]</w:t>
      </w:r>
      <w:r>
        <w:rPr>
          <w:rFonts w:ascii="Calibri" w:cs="Calibri" w:eastAsia="Calibri" w:hAnsi="Calibri"/>
          <w:sz w:val="21"/>
          <w:szCs w:val="21"/>
        </w:rPr>
        <w:t xml:space="preserve"> by trade sale or listing.</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On a return of capital, proceeds shall be applied in the order in Schedule 1.</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Each party shall co-operate with a bona fide exit process approved in accordance with this agreement.</w:t>
      </w:r>
    </w:p>
    <w:p>
      <w:pPr>
        <w:keepNext/>
        <w:spacing w:after="120" w:before="280"/>
        <w:outlineLvl w:val="0"/>
      </w:pPr>
      <w:r>
        <w:rPr>
          <w:rFonts w:ascii="Calibri" w:cs="Calibri" w:eastAsia="Calibri" w:hAnsi="Calibri"/>
          <w:b/>
          <w:bCs/>
          <w:color w:val="14161B"/>
          <w:sz w:val="22"/>
          <w:szCs w:val="22"/>
        </w:rPr>
        <w:t xml:space="preserve">9. GENERAL</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Each party shall keep the Company’s confidential information confidential.</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This agreement terminates as to a party when it ceases to hold shares, save for surviving obligations.</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sz w:val="21"/>
          <w:szCs w:val="21"/>
        </w:rPr>
        <w:t xml:space="preserve">Amendments require the written consent of </w:t>
      </w:r>
      <w:r>
        <w:rPr>
          <w:rFonts w:ascii="Calibri" w:cs="Calibri" w:eastAsia="Calibri" w:hAnsi="Calibri"/>
          <w:b/>
          <w:bCs/>
          <w:sz w:val="21"/>
          <w:szCs w:val="21"/>
        </w:rPr>
        <w:t xml:space="preserve">[the Company, Founders holding a majority of Founder shares, and the Investor Majority]</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9.4	</w:t>
      </w:r>
      <w:r>
        <w:rPr>
          <w:rFonts w:ascii="Calibri" w:cs="Calibri" w:eastAsia="Calibri" w:hAnsi="Calibri"/>
          <w:sz w:val="21"/>
          <w:szCs w:val="21"/>
        </w:rPr>
        <w:t xml:space="preserve">This agreement is governed by </w:t>
      </w:r>
      <w:r>
        <w:rPr>
          <w:rFonts w:ascii="Calibri" w:cs="Calibri" w:eastAsia="Calibri" w:hAnsi="Calibri"/>
          <w:b/>
          <w:bCs/>
          <w:sz w:val="21"/>
          <w:szCs w:val="21"/>
        </w:rPr>
        <w:t xml:space="preserve">[DIFC law / ADGM law / the laws of the UAE and the emirate of ______]</w:t>
      </w:r>
      <w:r>
        <w:rPr>
          <w:rFonts w:ascii="Calibri" w:cs="Calibri" w:eastAsia="Calibri" w:hAnsi="Calibri"/>
          <w:sz w:val="21"/>
          <w:szCs w:val="21"/>
        </w:rPr>
        <w:t xml:space="preserve"> and the parties submit to </w:t>
      </w:r>
      <w:r>
        <w:rPr>
          <w:rFonts w:ascii="Calibri" w:cs="Calibri" w:eastAsia="Calibri" w:hAnsi="Calibri"/>
          <w:b/>
          <w:bCs/>
          <w:sz w:val="21"/>
          <w:szCs w:val="21"/>
        </w:rPr>
        <w:t xml:space="preserve">[the DIFC Courts / the ADGM Courts / the courts of ______ / arbitration in ______]</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9.5	</w:t>
      </w:r>
      <w:r>
        <w:rPr>
          <w:rFonts w:ascii="Calibri" w:cs="Calibri" w:eastAsia="Calibri" w:hAnsi="Calibri"/>
          <w:b/>
          <w:bCs/>
          <w:sz w:val="21"/>
          <w:szCs w:val="21"/>
        </w:rPr>
        <w:t xml:space="preserve">[Where bilingual]</w:t>
      </w:r>
      <w:r>
        <w:rPr>
          <w:rFonts w:ascii="Calibri" w:cs="Calibri" w:eastAsia="Calibri" w:hAnsi="Calibri"/>
          <w:sz w:val="21"/>
          <w:szCs w:val="21"/>
        </w:rPr>
        <w:t xml:space="preserve"> Executed in English and Arabic. </w:t>
      </w:r>
      <w:r>
        <w:rPr>
          <w:rFonts w:ascii="Calibri" w:cs="Calibri" w:eastAsia="Calibri" w:hAnsi="Calibri"/>
          <w:b/>
          <w:bCs/>
          <w:sz w:val="21"/>
          <w:szCs w:val="21"/>
        </w:rPr>
        <w:t xml:space="preserve">In the event of conflict the Arabic version prevails.</w:t>
      </w:r>
    </w:p>
    <w:p>
      <w:pPr>
        <w:spacing w:after="18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the Company</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Founder</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r>
    </w:tbl>
    <w:p>
      <w:pPr>
        <w:spacing w:after="12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Founder</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the Investor</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1</w:t>
      </w:r>
    </w:p>
    <w:p>
      <w:pPr>
        <w:spacing w:after="260"/>
        <w:jc w:val="center"/>
      </w:pPr>
      <w:r>
        <w:rPr>
          <w:rFonts w:ascii="Calibri" w:cs="Calibri" w:eastAsia="Calibri" w:hAnsi="Calibri"/>
          <w:i/>
          <w:iCs/>
          <w:color w:val="6E7480"/>
          <w:sz w:val="19"/>
          <w:szCs w:val="19"/>
        </w:rPr>
        <w:t xml:space="preserve">Exit Waterfall</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963"/>
        <w:gridCol w:w="5011"/>
        <w:gridCol w:w="3664"/>
      </w:tblGrid>
      <w:tr>
        <w:trPr>
          <w:cantSplit/>
          <w:tblHeader/>
        </w:trPr>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Order</w:t>
            </w:r>
          </w:p>
        </w:tc>
        <w:tc>
          <w:tcPr>
            <w:tcW w:type="dxa" w:w="501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Applied to</w:t>
            </w:r>
          </w:p>
        </w:tc>
        <w:tc>
          <w:tcPr>
            <w:tcW w:type="dxa" w:w="366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r>
      <w:tr>
        <w:trPr>
          <w:cantSplit/>
        </w:trP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Creditors, including any convertible instruments ranking as debt</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 full</w:t>
            </w:r>
          </w:p>
        </w:tc>
      </w:tr>
      <w:tr>
        <w:trPr>
          <w:cantSplit/>
        </w:trP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[Preference]</w:t>
            </w:r>
            <w:r>
              <w:rPr>
                <w:rFonts w:ascii="Calibri" w:cs="Calibri" w:eastAsia="Calibri" w:hAnsi="Calibri"/>
                <w:sz w:val="18"/>
                <w:szCs w:val="18"/>
              </w:rPr>
              <w:t xml:space="preserve"> — liquidation preference</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w:t>
            </w:r>
            <w:r>
              <w:rPr>
                <w:rFonts w:ascii="Calibri" w:cs="Calibri" w:eastAsia="Calibri" w:hAnsi="Calibri"/>
                <w:b/>
                <w:bCs/>
                <w:sz w:val="18"/>
                <w:szCs w:val="18"/>
              </w:rPr>
              <w:t xml:space="preserve">×</w:t>
            </w:r>
            <w:r>
              <w:rPr>
                <w:rFonts w:ascii="Calibri" w:cs="Calibri" w:eastAsia="Calibri" w:hAnsi="Calibri"/>
                <w:sz w:val="18"/>
                <w:szCs w:val="18"/>
              </w:rPr>
              <w:t xml:space="preserve"> the subscription amount </w:t>
            </w:r>
            <w:r>
              <w:rPr>
                <w:rFonts w:ascii="Calibri" w:cs="Calibri" w:eastAsia="Calibri" w:hAnsi="Calibri"/>
                <w:b/>
                <w:bCs/>
                <w:sz w:val="18"/>
                <w:szCs w:val="18"/>
              </w:rPr>
              <w:t xml:space="preserve">[plus declared but unpaid dividends]</w:t>
            </w:r>
          </w:p>
        </w:tc>
      </w:tr>
      <w:tr>
        <w:trPr>
          <w:cantSplit/>
        </w:trP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[Non-participating]</w:t>
            </w:r>
            <w:r>
              <w:rPr>
                <w:rFonts w:ascii="Calibri" w:cs="Calibri" w:eastAsia="Calibri" w:hAnsi="Calibri"/>
                <w:sz w:val="18"/>
                <w:szCs w:val="18"/>
              </w:rPr>
              <w:t xml:space="preserve"> Preference holders take the greater of step 2 or their converted pro rata share</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r>
      <w:tr>
        <w:trPr>
          <w:cantSplit/>
        </w:trP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[Participating]</w:t>
            </w:r>
            <w:r>
              <w:rPr>
                <w:rFonts w:ascii="Calibri" w:cs="Calibri" w:eastAsia="Calibri" w:hAnsi="Calibri"/>
                <w:sz w:val="18"/>
                <w:szCs w:val="18"/>
              </w:rPr>
              <w:t xml:space="preserve"> Preference holders also share pro rata in the balance</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[Uncapped / capped at ______×]</w:t>
            </w:r>
          </w:p>
        </w:tc>
      </w:tr>
      <w:tr>
        <w:trPr>
          <w:cantSplit/>
        </w:trPr>
        <w:tc>
          <w:tcPr>
            <w:tcW w:type="dxa" w:w="9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01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Ordinary shareholders, including converted options</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balance, pro rata</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Decide the structure before drafting the agreement</w:t>
      </w:r>
    </w:p>
    <w:p>
      <w:pPr>
        <w:spacing w:after="60" w:line="264"/>
        <w:jc w:val="both"/>
      </w:pPr>
      <w:r>
        <w:rPr>
          <w:rFonts w:ascii="Calibri" w:cs="Calibri" w:eastAsia="Calibri" w:hAnsi="Calibri"/>
          <w:sz w:val="19"/>
          <w:szCs w:val="19"/>
        </w:rPr>
        <w:t xml:space="preserve">A mainland LLC is a poor venture vehicle: share classes are constrained, every transfer requires notarisation and DED approval, and option schemes are awkward to operate. Most UAE venture deals place the equity layer at an ADGM, DIFC or offshore holding company above the operating entity. Retrofitting that after an investment closes is materially harder than building it first.</w:t>
      </w:r>
    </w:p>
    <w:p>
      <w:pPr>
        <w:keepNext/>
        <w:spacing w:after="40" w:before="140"/>
      </w:pPr>
      <w:r>
        <w:rPr>
          <w:rFonts w:ascii="Calibri" w:cs="Calibri" w:eastAsia="Calibri" w:hAnsi="Calibri"/>
          <w:b/>
          <w:bCs/>
          <w:color w:val="14161B"/>
          <w:sz w:val="20"/>
          <w:szCs w:val="20"/>
        </w:rPr>
        <w:t xml:space="preserve">The MOA governs the company, not this agreement</w:t>
      </w:r>
    </w:p>
    <w:p>
      <w:pPr>
        <w:spacing w:after="60" w:line="264"/>
        <w:jc w:val="both"/>
      </w:pPr>
      <w:r>
        <w:rPr>
          <w:rFonts w:ascii="Calibri" w:cs="Calibri" w:eastAsia="Calibri" w:hAnsi="Calibri"/>
          <w:sz w:val="19"/>
          <w:szCs w:val="19"/>
        </w:rPr>
        <w:t xml:space="preserve">Over a mainland LLC, the notarised Arabic Memorandum of Association is the constitutional document. This agreement binds the parties contractually, but provisions the MOA does not reflect are difficult to give effect to — and amending the MOA means a notary, DED approval and, for overseas parties, attested powers of attorney.</w:t>
      </w:r>
    </w:p>
    <w:p>
      <w:pPr>
        <w:keepNext/>
        <w:spacing w:after="40" w:before="140"/>
      </w:pPr>
      <w:r>
        <w:rPr>
          <w:rFonts w:ascii="Calibri" w:cs="Calibri" w:eastAsia="Calibri" w:hAnsi="Calibri"/>
          <w:b/>
          <w:bCs/>
          <w:color w:val="14161B"/>
          <w:sz w:val="20"/>
          <w:szCs w:val="20"/>
        </w:rPr>
        <w:t xml:space="preserve">Transfers are not effective on signature</w:t>
      </w:r>
    </w:p>
    <w:p>
      <w:pPr>
        <w:spacing w:after="60" w:line="264"/>
        <w:jc w:val="both"/>
      </w:pPr>
      <w:r>
        <w:rPr>
          <w:rFonts w:ascii="Calibri" w:cs="Calibri" w:eastAsia="Calibri" w:hAnsi="Calibri"/>
          <w:sz w:val="19"/>
          <w:szCs w:val="19"/>
        </w:rPr>
        <w:t xml:space="preserve">Clause 6.8 makes the point that catches investors: a mainland share transfer requires notarisation, DED approval and a licence amendment before it takes effect. Weeks, not days, and it needs the parties or attested attorneys present. Build it into every closing timetable.</w:t>
      </w:r>
    </w:p>
    <w:p>
      <w:pPr>
        <w:keepNext/>
        <w:spacing w:after="40" w:before="140"/>
      </w:pPr>
      <w:r>
        <w:rPr>
          <w:rFonts w:ascii="Calibri" w:cs="Calibri" w:eastAsia="Calibri" w:hAnsi="Calibri"/>
          <w:b/>
          <w:bCs/>
          <w:color w:val="14161B"/>
          <w:sz w:val="20"/>
          <w:szCs w:val="20"/>
        </w:rPr>
        <w:t xml:space="preserve">Reserved matters are the real control</w:t>
      </w:r>
    </w:p>
    <w:p>
      <w:pPr>
        <w:spacing w:after="60" w:line="264"/>
        <w:jc w:val="both"/>
      </w:pPr>
      <w:r>
        <w:rPr>
          <w:rFonts w:ascii="Calibri" w:cs="Calibri" w:eastAsia="Calibri" w:hAnsi="Calibri"/>
          <w:sz w:val="19"/>
          <w:szCs w:val="19"/>
        </w:rPr>
        <w:t xml:space="preserve">Board seats are visible; consent rights determine who can actually do anything. A minority investor with a veto over budgets, hiring, borrowing and material contracts controls the business. Set thresholds high enough that ordinary operations do not require consent, and negotiate the list line by line.</w:t>
      </w:r>
    </w:p>
    <w:p>
      <w:pPr>
        <w:keepNext/>
        <w:spacing w:after="40" w:before="140"/>
      </w:pPr>
      <w:r>
        <w:rPr>
          <w:rFonts w:ascii="Calibri" w:cs="Calibri" w:eastAsia="Calibri" w:hAnsi="Calibri"/>
          <w:b/>
          <w:bCs/>
          <w:color w:val="14161B"/>
          <w:sz w:val="20"/>
          <w:szCs w:val="20"/>
        </w:rPr>
        <w:t xml:space="preserve">Deemed consent prevents paralysis</w:t>
      </w:r>
    </w:p>
    <w:p>
      <w:pPr>
        <w:spacing w:after="60" w:line="264"/>
        <w:jc w:val="both"/>
      </w:pPr>
      <w:r>
        <w:rPr>
          <w:rFonts w:ascii="Calibri" w:cs="Calibri" w:eastAsia="Calibri" w:hAnsi="Calibri"/>
          <w:sz w:val="19"/>
          <w:szCs w:val="19"/>
        </w:rPr>
        <w:t xml:space="preserve">Clause 4.2 treats consent as given if not refused within ten business days. Without it an unresponsive investor — a fund wound down, a partner who has left — can stop the company acting entirely. Small clause, serious problem prevented.</w:t>
      </w:r>
    </w:p>
    <w:p>
      <w:pPr>
        <w:keepNext/>
        <w:spacing w:after="40" w:before="140"/>
      </w:pPr>
      <w:r>
        <w:rPr>
          <w:rFonts w:ascii="Calibri" w:cs="Calibri" w:eastAsia="Calibri" w:hAnsi="Calibri"/>
          <w:b/>
          <w:bCs/>
          <w:color w:val="14161B"/>
          <w:sz w:val="20"/>
          <w:szCs w:val="20"/>
        </w:rPr>
        <w:t xml:space="preserve">Limit what a dragged shareholder must warrant</w:t>
      </w:r>
    </w:p>
    <w:p>
      <w:pPr>
        <w:spacing w:after="60" w:line="264"/>
        <w:jc w:val="both"/>
      </w:pPr>
      <w:r>
        <w:rPr>
          <w:rFonts w:ascii="Calibri" w:cs="Calibri" w:eastAsia="Calibri" w:hAnsi="Calibri"/>
          <w:sz w:val="19"/>
          <w:szCs w:val="19"/>
        </w:rPr>
        <w:t xml:space="preserve">Clause 6.7 confines a dragged party to title and capacity warranties with several, capped liability. Without it a minority holder can be compelled to sell and then give full business warranties on a company they do not run. Founders and small holders should insist on this.</w:t>
      </w:r>
    </w:p>
    <w:p>
      <w:pPr>
        <w:keepNext/>
        <w:spacing w:after="40" w:before="140"/>
      </w:pPr>
      <w:r>
        <w:rPr>
          <w:rFonts w:ascii="Calibri" w:cs="Calibri" w:eastAsia="Calibri" w:hAnsi="Calibri"/>
          <w:b/>
          <w:bCs/>
          <w:color w:val="14161B"/>
          <w:sz w:val="20"/>
          <w:szCs w:val="20"/>
        </w:rPr>
        <w:t xml:space="preserve">Void the transfer that ignores tag</w:t>
      </w:r>
    </w:p>
    <w:p>
      <w:pPr>
        <w:spacing w:after="60" w:line="264"/>
        <w:jc w:val="both"/>
      </w:pPr>
      <w:r>
        <w:rPr>
          <w:rFonts w:ascii="Calibri" w:cs="Calibri" w:eastAsia="Calibri" w:hAnsi="Calibri"/>
          <w:sz w:val="19"/>
          <w:szCs w:val="19"/>
        </w:rPr>
        <w:t xml:space="preserve">Making a transfer in breach of tag-along void, rather than merely a breach of contract, is what gives the right teeth. A damages claim against a seller who has already exited is a poor remedy.</w:t>
      </w:r>
    </w:p>
    <w:p>
      <w:pPr>
        <w:keepNext/>
        <w:spacing w:after="40" w:before="140"/>
      </w:pPr>
      <w:r>
        <w:rPr>
          <w:rFonts w:ascii="Calibri" w:cs="Calibri" w:eastAsia="Calibri" w:hAnsi="Calibri"/>
          <w:b/>
          <w:bCs/>
          <w:color w:val="14161B"/>
          <w:sz w:val="20"/>
          <w:szCs w:val="20"/>
        </w:rPr>
        <w:t xml:space="preserve">Founder vesting is hard to operate onshore</w:t>
      </w:r>
    </w:p>
    <w:p>
      <w:pPr>
        <w:spacing w:after="60" w:line="264"/>
        <w:jc w:val="both"/>
      </w:pPr>
      <w:r>
        <w:rPr>
          <w:rFonts w:ascii="Calibri" w:cs="Calibri" w:eastAsia="Calibri" w:hAnsi="Calibri"/>
          <w:sz w:val="19"/>
          <w:szCs w:val="19"/>
        </w:rPr>
        <w:t xml:space="preserve">A buyback of unvested founder shares in a mainland LLC requires a notarised transfer with DED approval, and a departing founder who will not attend the notary is a real obstacle. This is one of the strongest practical arguments for holding the equity at a common-law holdco.</w:t>
      </w:r>
    </w:p>
    <w:p>
      <w:pPr>
        <w:keepNext/>
        <w:spacing w:after="40" w:before="140"/>
      </w:pPr>
      <w:r>
        <w:rPr>
          <w:rFonts w:ascii="Calibri" w:cs="Calibri" w:eastAsia="Calibri" w:hAnsi="Calibri"/>
          <w:b/>
          <w:bCs/>
          <w:color w:val="14161B"/>
          <w:sz w:val="20"/>
          <w:szCs w:val="20"/>
        </w:rPr>
        <w:t xml:space="preserve">Model the waterfall before agreeing the preference</w:t>
      </w:r>
    </w:p>
    <w:p>
      <w:pPr>
        <w:spacing w:after="60" w:line="264"/>
        <w:jc w:val="both"/>
      </w:pPr>
      <w:r>
        <w:rPr>
          <w:rFonts w:ascii="Calibri" w:cs="Calibri" w:eastAsia="Calibri" w:hAnsi="Calibri"/>
          <w:sz w:val="19"/>
          <w:szCs w:val="19"/>
        </w:rPr>
        <w:t xml:space="preserve">A participating preference means the investor takes its money back and shares the balance, which at modest exit values can leave founders with very little. Run the numbers at realistic exit values, not just the optimistic case.</w:t>
      </w:r>
    </w:p>
    <w:p>
      <w:pPr>
        <w:keepNext/>
        <w:spacing w:after="40" w:before="140"/>
      </w:pPr>
      <w:r>
        <w:rPr>
          <w:rFonts w:ascii="Calibri" w:cs="Calibri" w:eastAsia="Calibri" w:hAnsi="Calibri"/>
          <w:b/>
          <w:bCs/>
          <w:color w:val="14161B"/>
          <w:sz w:val="20"/>
          <w:szCs w:val="20"/>
        </w:rPr>
        <w:t xml:space="preserve">Deed of adherence, every time</w:t>
      </w:r>
    </w:p>
    <w:p>
      <w:pPr>
        <w:spacing w:after="60" w:line="264"/>
        <w:jc w:val="both"/>
      </w:pPr>
      <w:r>
        <w:rPr>
          <w:rFonts w:ascii="Calibri" w:cs="Calibri" w:eastAsia="Calibri" w:hAnsi="Calibri"/>
          <w:sz w:val="19"/>
          <w:szCs w:val="19"/>
        </w:rPr>
        <w:t xml:space="preserve">A shareholder who has not acceded is not bound by transfer restrictions, drag, tag or information rights. This is the step most often skipped on small transfers and option exercises, and it undermines the whole agreement.</w:t>
      </w:r>
    </w:p>
    <w:p>
      <w:pPr>
        <w:keepNext/>
        <w:spacing w:after="40" w:before="140"/>
      </w:pPr>
      <w:r>
        <w:rPr>
          <w:rFonts w:ascii="Calibri" w:cs="Calibri" w:eastAsia="Calibri" w:hAnsi="Calibri"/>
          <w:b/>
          <w:bCs/>
          <w:color w:val="14161B"/>
          <w:sz w:val="20"/>
          <w:szCs w:val="20"/>
        </w:rPr>
        <w:t xml:space="preserve">Update the UBO register on any change</w:t>
      </w:r>
    </w:p>
    <w:p>
      <w:pPr>
        <w:spacing w:after="60" w:line="264"/>
        <w:jc w:val="both"/>
      </w:pPr>
      <w:r>
        <w:rPr>
          <w:rFonts w:ascii="Calibri" w:cs="Calibri" w:eastAsia="Calibri" w:hAnsi="Calibri"/>
          <w:sz w:val="19"/>
          <w:szCs w:val="19"/>
        </w:rPr>
        <w:t xml:space="preserve">A transfer or issue crossing the 25 per cent threshold changes the beneficial ownership position, and the register must be updated and filed on the change rather than at renewal. It is checked in banking and licensing.</w:t>
      </w:r>
    </w:p>
    <w:p>
      <w:pPr>
        <w:keepNext/>
        <w:spacing w:after="40" w:before="140"/>
      </w:pPr>
      <w:r>
        <w:rPr>
          <w:rFonts w:ascii="Calibri" w:cs="Calibri" w:eastAsia="Calibri" w:hAnsi="Calibri"/>
          <w:b/>
          <w:bCs/>
          <w:color w:val="14161B"/>
          <w:sz w:val="20"/>
          <w:szCs w:val="20"/>
        </w:rPr>
        <w:t xml:space="preserve">Choose the forum deliberately</w:t>
      </w:r>
    </w:p>
    <w:p>
      <w:pPr>
        <w:spacing w:after="60" w:line="264"/>
        <w:jc w:val="both"/>
      </w:pPr>
      <w:r>
        <w:rPr>
          <w:rFonts w:ascii="Calibri" w:cs="Calibri" w:eastAsia="Calibri" w:hAnsi="Calibri"/>
          <w:sz w:val="19"/>
          <w:szCs w:val="19"/>
        </w:rPr>
        <w:t xml:space="preserve">DIFC and ADGM courts apply this kind of agreement in English under common law, predictably. Onshore courts operate in Arabic with translated documents and a different procedural tradition. For an investment agreement the forum choice materially affects enforceability of the mechanics.</w:t>
      </w:r>
    </w:p>
    <w:p>
      <w:pPr>
        <w:keepNext/>
        <w:spacing w:after="40" w:before="140"/>
      </w:pPr>
      <w:r>
        <w:rPr>
          <w:rFonts w:ascii="Calibri" w:cs="Calibri" w:eastAsia="Calibri" w:hAnsi="Calibri"/>
          <w:b/>
          <w:bCs/>
          <w:color w:val="14161B"/>
          <w:sz w:val="20"/>
          <w:szCs w:val="20"/>
        </w:rPr>
        <w:t xml:space="preserve">Handle competitor shareholders explicitly</w:t>
      </w:r>
    </w:p>
    <w:p>
      <w:pPr>
        <w:spacing w:after="60" w:line="264"/>
        <w:jc w:val="both"/>
      </w:pPr>
      <w:r>
        <w:rPr>
          <w:rFonts w:ascii="Calibri" w:cs="Calibri" w:eastAsia="Calibri" w:hAnsi="Calibri"/>
          <w:sz w:val="19"/>
          <w:szCs w:val="19"/>
        </w:rPr>
        <w:t xml:space="preserve">Clause 5.3 allows information rights to be suspended where a shareholder becomes a competitor, typically because an investor has backed a rival. Without it the company must keep supplying management accounts to a competitor.</w:t>
      </w:r>
    </w:p>
    <w:p>
      <w:pPr>
        <w:keepNext/>
        <w:spacing w:after="40" w:before="140"/>
      </w:pPr>
      <w:r>
        <w:rPr>
          <w:rFonts w:ascii="Calibri" w:cs="Calibri" w:eastAsia="Calibri" w:hAnsi="Calibri"/>
          <w:b/>
          <w:bCs/>
          <w:color w:val="14161B"/>
          <w:sz w:val="20"/>
          <w:szCs w:val="20"/>
        </w:rPr>
        <w:t xml:space="preserve">Amendment rights should require founder consent</w:t>
      </w:r>
    </w:p>
    <w:p>
      <w:pPr>
        <w:spacing w:after="60" w:line="264"/>
        <w:jc w:val="both"/>
      </w:pPr>
      <w:r>
        <w:rPr>
          <w:rFonts w:ascii="Calibri" w:cs="Calibri" w:eastAsia="Calibri" w:hAnsi="Calibri"/>
          <w:sz w:val="19"/>
          <w:szCs w:val="19"/>
        </w:rPr>
        <w:t xml:space="preserve">Clause 9.3 requires the Company, a founder majority and the investor majority. An amendment clause needing only the investor majority allows the terms to be changed against the founders — check this in any draft presented as standard.</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Commercial Companies Law was amended by Federal Decree-Law 20 of 2025, including redomiciliation provisions, and DIFC, ADGM and free zone company rules change — take UAE legal advice on the holding structure before an investment closes, not after.</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2026-08-23T16:28:34.479Z</dcterms:created>
  <dcterms:modified xsi:type="dcterms:W3CDTF">2026-08-23T16:28:34.479Z</dcterms:modified>
</cp:coreProperties>
</file>

<file path=docProps/custom.xml><?xml version="1.0" encoding="utf-8"?>
<Properties xmlns="http://schemas.openxmlformats.org/officeDocument/2006/custom-properties" xmlns:vt="http://schemas.openxmlformats.org/officeDocument/2006/docPropsVTypes"/>
</file>