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SHARE PURCHASE AGREEMENT</w:t>
      </w:r>
    </w:p>
    <w:p>
      <w:pPr>
        <w:spacing w:after="260"/>
        <w:jc w:val="center"/>
      </w:pPr>
      <w:r>
        <w:rPr>
          <w:rFonts w:ascii="Calibri" w:cs="Calibri" w:eastAsia="Calibri" w:hAnsi="Calibri"/>
          <w:i/>
          <w:iCs/>
          <w:color w:val="6E7480"/>
          <w:sz w:val="19"/>
          <w:szCs w:val="19"/>
        </w:rPr>
        <w:t xml:space="preserve">Buying existing shares</w:t>
      </w:r>
    </w:p>
    <w:p>
      <w:pPr>
        <w:spacing w:after="180" w:before="0" w:line="276"/>
        <w:jc w:val="both"/>
      </w:pPr>
      <w:r>
        <w:rPr>
          <w:rFonts w:ascii="Calibri" w:cs="Calibri" w:eastAsia="Calibri" w:hAnsi="Calibri"/>
          <w:i/>
          <w:iCs/>
          <w:color w:val="6E7480"/>
          <w:sz w:val="21"/>
          <w:szCs w:val="21"/>
        </w:rPr>
        <w:t xml:space="preserve">A subscription issues </w:t>
      </w:r>
      <w:r>
        <w:rPr>
          <w:rFonts w:ascii="Calibri" w:cs="Calibri" w:eastAsia="Calibri" w:hAnsi="Calibri"/>
          <w:b/>
          <w:bCs/>
          <w:i/>
          <w:iCs/>
          <w:color w:val="6E7480"/>
          <w:sz w:val="21"/>
          <w:szCs w:val="21"/>
        </w:rPr>
        <w:t xml:space="preserve">new</w:t>
      </w:r>
      <w:r>
        <w:rPr>
          <w:rFonts w:ascii="Calibri" w:cs="Calibri" w:eastAsia="Calibri" w:hAnsi="Calibri"/>
          <w:i/>
          <w:iCs/>
          <w:color w:val="6E7480"/>
          <w:sz w:val="21"/>
          <w:szCs w:val="21"/>
        </w:rPr>
        <w:t xml:space="preserve"> shares and the money goes to the company. A purchase transfers </w:t>
      </w:r>
      <w:r>
        <w:rPr>
          <w:rFonts w:ascii="Calibri" w:cs="Calibri" w:eastAsia="Calibri" w:hAnsi="Calibri"/>
          <w:b/>
          <w:bCs/>
          <w:i/>
          <w:iCs/>
          <w:color w:val="6E7480"/>
          <w:sz w:val="21"/>
          <w:szCs w:val="21"/>
        </w:rPr>
        <w:t xml:space="preserve">existing</w:t>
      </w:r>
      <w:r>
        <w:rPr>
          <w:rFonts w:ascii="Calibri" w:cs="Calibri" w:eastAsia="Calibri" w:hAnsi="Calibri"/>
          <w:i/>
          <w:iCs/>
          <w:color w:val="6E7480"/>
          <w:sz w:val="21"/>
          <w:szCs w:val="21"/>
        </w:rPr>
        <w:t xml:space="preserve"> shares and the money goes to the seller. In the UAE the difference is procedural as well as commercial: on the mainland a transfer requires </w:t>
      </w:r>
      <w:r>
        <w:rPr>
          <w:rFonts w:ascii="Calibri" w:cs="Calibri" w:eastAsia="Calibri" w:hAnsi="Calibri"/>
          <w:b/>
          <w:bCs/>
          <w:i/>
          <w:iCs/>
          <w:color w:val="6E7480"/>
          <w:sz w:val="21"/>
          <w:szCs w:val="21"/>
        </w:rPr>
        <w:t xml:space="preserve">notarisation, authority approval and a licence amendment</w:t>
      </w:r>
      <w:r>
        <w:rPr>
          <w:rFonts w:ascii="Calibri" w:cs="Calibri" w:eastAsia="Calibri" w:hAnsi="Calibri"/>
          <w:i/>
          <w:iCs/>
          <w:color w:val="6E7480"/>
          <w:sz w:val="21"/>
          <w:szCs w:val="21"/>
        </w:rPr>
        <w:t xml:space="preserve">, and it is not effective until those are done.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Entity type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LLC / Free zone / DIFC / ADGM]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[Emirates ID / passport / 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Buyer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Shares sold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being </w:t>
            </w:r>
            <w:r>
              <w:rPr>
                <w:rFonts w:ascii="Calibri" w:cs="Calibri" w:eastAsia="Calibri" w:hAnsi="Calibri"/>
                <w:b/>
                <w:bCs/>
                <w:sz w:val="19"/>
                <w:szCs w:val="19"/>
              </w:rPr>
              <w:t xml:space="preserve">[PERCENTAGE]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consideration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[CURRENCY]</w:t>
            </w: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[Secondary sale / acquisition of the whole company]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Completion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Notarisation required?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 — mainland / 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Warranty cap</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consideration received by the Seller]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[English / Bilingual — Arabic prevails onshore]</w:t>
            </w:r>
          </w:p>
        </w:tc>
      </w:tr>
    </w:tbl>
    <w:p>
      <w:pPr>
        <w:spacing w:after="180"/>
      </w:pPr>
    </w:p>
    <w:p>
      <w:pPr>
        <w:keepNext/>
        <w:spacing w:after="120" w:before="280"/>
        <w:outlineLvl w:val="0"/>
      </w:pPr>
      <w:r>
        <w:rPr>
          <w:rFonts w:ascii="Calibri" w:cs="Calibri" w:eastAsia="Calibri" w:hAnsi="Calibri"/>
          <w:b/>
          <w:bCs/>
          <w:color w:val="14161B"/>
          <w:sz w:val="22"/>
          <w:szCs w:val="22"/>
        </w:rPr>
        <w:t xml:space="preserve">1. SALE AND PURCHASE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Seller shall sell and the Buyer shall purchase </w:t>
      </w:r>
      <w:r>
        <w:rPr>
          <w:rFonts w:ascii="Calibri" w:cs="Calibri" w:eastAsia="Calibri" w:hAnsi="Calibri"/>
          <w:b/>
          <w:bCs/>
          <w:sz w:val="21"/>
          <w:szCs w:val="21"/>
        </w:rPr>
        <w:t xml:space="preserve">[NUMBER]</w:t>
      </w:r>
      <w:r>
        <w:rPr>
          <w:rFonts w:ascii="Calibri" w:cs="Calibri" w:eastAsia="Calibri" w:hAnsi="Calibri"/>
          <w:sz w:val="21"/>
          <w:szCs w:val="21"/>
        </w:rPr>
        <w:t xml:space="preserve"> shares (the "</w:t>
      </w:r>
      <w:r>
        <w:rPr>
          <w:rFonts w:ascii="Calibri" w:cs="Calibri" w:eastAsia="Calibri" w:hAnsi="Calibri"/>
          <w:b/>
          <w:bCs/>
          <w:sz w:val="21"/>
          <w:szCs w:val="21"/>
        </w:rPr>
        <w:t xml:space="preserve">Sale Shares</w:t>
      </w:r>
      <w:r>
        <w:rPr>
          <w:rFonts w:ascii="Calibri" w:cs="Calibri" w:eastAsia="Calibri" w:hAnsi="Calibri"/>
          <w:sz w:val="21"/>
          <w:szCs w:val="21"/>
        </w:rPr>
        <w:t xml:space="preserve">") free from all encumbrances, with all rights attaching from Completion.</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consideration is </w:t>
      </w:r>
      <w:r>
        <w:rPr>
          <w:rFonts w:ascii="Calibri" w:cs="Calibri" w:eastAsia="Calibri" w:hAnsi="Calibri"/>
          <w:b/>
          <w:bCs/>
          <w:sz w:val="21"/>
          <w:szCs w:val="21"/>
        </w:rPr>
        <w:t xml:space="preserve">[CURRENCY]</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payable </w:t>
      </w:r>
      <w:r>
        <w:rPr>
          <w:rFonts w:ascii="Calibri" w:cs="Calibri" w:eastAsia="Calibri" w:hAnsi="Calibri"/>
          <w:b/>
          <w:bCs/>
          <w:sz w:val="21"/>
          <w:szCs w:val="21"/>
        </w:rPr>
        <w:t xml:space="preserve">[in full at Completion / as set out in Clause 4]</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Seller waives any pre-emption right it holds over the Sale Shares and shall procure the waiver or exercise of any held by others.</w:t>
      </w:r>
    </w:p>
    <w:p>
      <w:pPr>
        <w:keepNext/>
        <w:spacing w:after="120" w:before="280"/>
        <w:outlineLvl w:val="0"/>
      </w:pPr>
      <w:r>
        <w:rPr>
          <w:rFonts w:ascii="Calibri" w:cs="Calibri" w:eastAsia="Calibri" w:hAnsi="Calibri"/>
          <w:b/>
          <w:bCs/>
          <w:color w:val="14161B"/>
          <w:sz w:val="22"/>
          <w:szCs w:val="22"/>
        </w:rPr>
        <w:t xml:space="preserve">2. CONDITIONS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Completion is conditional on:</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pre-emption rights</w:t>
      </w:r>
      <w:r>
        <w:rPr>
          <w:rFonts w:ascii="Calibri" w:cs="Calibri" w:eastAsia="Calibri" w:hAnsi="Calibri"/>
          <w:sz w:val="21"/>
          <w:szCs w:val="21"/>
        </w:rPr>
        <w:t xml:space="preserve"> under the constitutional documents and any shareholders’ agreement having been complied with, waived or exhausted;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approval of the transfer by the managers or board;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consent required under a shareholders’ agreement;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Buyer executing a </w:t>
      </w:r>
      <w:r>
        <w:rPr>
          <w:rFonts w:ascii="Calibri" w:cs="Calibri" w:eastAsia="Calibri" w:hAnsi="Calibri"/>
          <w:b/>
          <w:bCs/>
          <w:sz w:val="21"/>
          <w:szCs w:val="21"/>
        </w:rPr>
        <w:t xml:space="preserve">deed of adherence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[completion of due diligence to the Buyer’s satisfaction]</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b/>
          <w:bCs/>
          <w:sz w:val="21"/>
          <w:szCs w:val="21"/>
        </w:rPr>
        <w:t xml:space="preserve">confirmation that the Buyer is eligible to hold the shares</w:t>
      </w:r>
      <w:r>
        <w:rPr>
          <w:rFonts w:ascii="Calibri" w:cs="Calibri" w:eastAsia="Calibri" w:hAnsi="Calibri"/>
          <w:sz w:val="21"/>
          <w:szCs w:val="21"/>
        </w:rPr>
        <w:t xml:space="preserve"> given the licensed activity;</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b/>
          <w:bCs/>
          <w:sz w:val="21"/>
          <w:szCs w:val="21"/>
        </w:rPr>
        <w:t xml:space="preserve">[any regulatory or sector approval]</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no material adverse change since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Condition (f) matters where the company carries a strategic-impact activity or a regulated licence. Bringing in a new shareholder can raise ownership or approval questions that did not arise at incorporation.</w:t>
      </w:r>
    </w:p>
    <w:p>
      <w:pPr>
        <w:keepNext/>
        <w:spacing w:after="120" w:before="280"/>
        <w:outlineLvl w:val="0"/>
      </w:pPr>
      <w:r>
        <w:rPr>
          <w:rFonts w:ascii="Calibri" w:cs="Calibri" w:eastAsia="Calibri" w:hAnsi="Calibri"/>
          <w:b/>
          <w:bCs/>
          <w:color w:val="14161B"/>
          <w:sz w:val="22"/>
          <w:szCs w:val="22"/>
        </w:rPr>
        <w:t xml:space="preserve">3. COMPLETION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1542"/>
        <w:gridCol w:w="3278"/>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Party</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Pre-emption waivers obtained in writing</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Seller</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anything else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 resolution approving the transfer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[Notarised if mainland]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 pays the consideration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[Or into escrow]</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Deed of adherence executed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w:t>
            </w:r>
          </w:p>
        </w:tc>
        <w:tc>
          <w:tcPr>
            <w:tcW w:type="dxa" w:w="3278"/>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Amended constitutional document executed before the notary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Both</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 — parties present or by attested POA</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Authority approval and licence amendment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 — weeks, not days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of shareholders updated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3278"/>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UBO register updated and filed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Buyer crosses the threshold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Seller resigns any office and is removed from bank mandates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Frequently forgotten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power of attorney granted by the Seller revoked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every copy holder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notified; signatories updated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3278"/>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Cap table reconciled to the operative record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w:t>
            </w:r>
          </w:p>
        </w:tc>
        <w:tc>
          <w:tcPr>
            <w:tcW w:type="dxa" w:w="3278"/>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On the mainland the transfer is not effective on signature.</w:t>
      </w:r>
      <w:r>
        <w:rPr>
          <w:rFonts w:ascii="Calibri" w:cs="Calibri" w:eastAsia="Calibri" w:hAnsi="Calibri"/>
          <w:sz w:val="21"/>
          <w:szCs w:val="21"/>
        </w:rPr>
        <w:t xml:space="preserve"> It takes effect on notarisation of the amended constitutional document and approval by the authority. Where either party is overseas, an attested power of attorney must be in place first — three to six weeks.</w:t>
      </w:r>
    </w:p>
    <w:p>
      <w:pPr>
        <w:keepNext/>
        <w:spacing w:after="120" w:before="280"/>
        <w:outlineLvl w:val="0"/>
      </w:pPr>
      <w:r>
        <w:rPr>
          <w:rFonts w:ascii="Calibri" w:cs="Calibri" w:eastAsia="Calibri" w:hAnsi="Calibri"/>
          <w:b/>
          <w:bCs/>
          <w:color w:val="14161B"/>
          <w:sz w:val="22"/>
          <w:szCs w:val="22"/>
        </w:rPr>
        <w:t xml:space="preserve">4. DEFERRED CONSIDERATION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[Where deferred]</w:t>
      </w:r>
      <w:r>
        <w:rPr>
          <w:rFonts w:ascii="Calibri" w:cs="Calibri" w:eastAsia="Calibri" w:hAnsi="Calibri"/>
          <w:sz w:val="21"/>
          <w:szCs w:val="21"/>
        </w:rPr>
        <w:t xml:space="preserve"> </w:t>
      </w:r>
      <w:r>
        <w:rPr>
          <w:rFonts w:ascii="Calibri" w:cs="Calibri" w:eastAsia="Calibri" w:hAnsi="Calibri"/>
          <w:b/>
          <w:bCs/>
          <w:sz w:val="21"/>
          <w:szCs w:val="21"/>
        </w:rPr>
        <w:t xml:space="preserve">[CURRENCY]</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is payable at Completion and </w:t>
      </w:r>
      <w:r>
        <w:rPr>
          <w:rFonts w:ascii="Calibri" w:cs="Calibri" w:eastAsia="Calibri" w:hAnsi="Calibri"/>
          <w:b/>
          <w:bCs/>
          <w:sz w:val="21"/>
          <w:szCs w:val="21"/>
        </w:rPr>
        <w:t xml:space="preserve">[CURRENCY]</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[Where an earn-out applies]</w:t>
      </w:r>
      <w:r>
        <w:rPr>
          <w:rFonts w:ascii="Calibri" w:cs="Calibri" w:eastAsia="Calibri" w:hAnsi="Calibri"/>
          <w:sz w:val="21"/>
          <w:szCs w:val="21"/>
        </w:rPr>
        <w:t xml:space="preserve"> Additional consideration of up to </w:t>
      </w:r>
      <w:r>
        <w:rPr>
          <w:rFonts w:ascii="Calibri" w:cs="Calibri" w:eastAsia="Calibri" w:hAnsi="Calibri"/>
          <w:b/>
          <w:bCs/>
          <w:sz w:val="21"/>
          <w:szCs w:val="21"/>
        </w:rPr>
        <w:t xml:space="preserve">[CURRENCY]</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is payable by reference to </w:t>
      </w:r>
      <w:r>
        <w:rPr>
          <w:rFonts w:ascii="Calibri" w:cs="Calibri" w:eastAsia="Calibri" w:hAnsi="Calibri"/>
          <w:b/>
          <w:bCs/>
          <w:sz w:val="21"/>
          <w:szCs w:val="21"/>
        </w:rPr>
        <w:t xml:space="preserve">[THE METRIC]</w:t>
      </w:r>
      <w:r>
        <w:rPr>
          <w:rFonts w:ascii="Calibri" w:cs="Calibri" w:eastAsia="Calibri" w:hAnsi="Calibri"/>
          <w:sz w:val="21"/>
          <w:szCs w:val="21"/>
        </w:rPr>
        <w:t xml:space="preserve"> for the period ending </w:t>
      </w:r>
      <w:r>
        <w:rPr>
          <w:rFonts w:ascii="Calibri" w:cs="Calibri" w:eastAsia="Calibri" w:hAnsi="Calibri"/>
          <w:b/>
          <w:bCs/>
          <w:sz w:val="21"/>
          <w:szCs w:val="21"/>
        </w:rPr>
        <w:t xml:space="preserve">[DATE]</w:t>
      </w:r>
      <w:r>
        <w:rPr>
          <w:rFonts w:ascii="Calibri" w:cs="Calibri" w:eastAsia="Calibri" w:hAnsi="Calibri"/>
          <w:sz w:val="21"/>
          <w:szCs w:val="21"/>
        </w:rPr>
        <w:t xml:space="preserve">, computed as set out in Schedule 1.</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[Where retained]</w:t>
      </w:r>
      <w:r>
        <w:rPr>
          <w:rFonts w:ascii="Calibri" w:cs="Calibri" w:eastAsia="Calibri" w:hAnsi="Calibri"/>
          <w:sz w:val="21"/>
          <w:szCs w:val="21"/>
        </w:rPr>
        <w:t xml:space="preserve"> </w:t>
      </w:r>
      <w:r>
        <w:rPr>
          <w:rFonts w:ascii="Calibri" w:cs="Calibri" w:eastAsia="Calibri" w:hAnsi="Calibri"/>
          <w:b/>
          <w:bCs/>
          <w:sz w:val="21"/>
          <w:szCs w:val="21"/>
        </w:rPr>
        <w:t xml:space="preserve">[CURRENCY]</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is held in escrow until </w:t>
      </w:r>
      <w:r>
        <w:rPr>
          <w:rFonts w:ascii="Calibri" w:cs="Calibri" w:eastAsia="Calibri" w:hAnsi="Calibri"/>
          <w:b/>
          <w:bCs/>
          <w:sz w:val="21"/>
          <w:szCs w:val="21"/>
        </w:rPr>
        <w:t xml:space="preserve">[DATE]</w:t>
      </w:r>
      <w:r>
        <w:rPr>
          <w:rFonts w:ascii="Calibri" w:cs="Calibri" w:eastAsia="Calibri" w:hAnsi="Calibri"/>
          <w:sz w:val="21"/>
          <w:szCs w:val="21"/>
        </w:rPr>
        <w:t xml:space="preserve"> as security for warranty claims.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Earn-outs need an objectively measurable metric, a defined computation, audit rights for the seller, and a restriction on the buyer acting to depress the figure. Vague earn-outs produce litigation at exactly the point the seller has already handed over control.</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WARRANTIES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Seller warrants that it is the sole legal and beneficial owner of the Sale Shares, that they are fully paid and free from encumbrances, that it has full power to sell, that no person has a right to acquire them, and that on Completion the Buyer will acquire full title.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[Where business warranties are given]</w:t>
      </w:r>
      <w:r>
        <w:rPr>
          <w:rFonts w:ascii="Calibri" w:cs="Calibri" w:eastAsia="Calibri" w:hAnsi="Calibri"/>
          <w:sz w:val="21"/>
          <w:szCs w:val="21"/>
        </w:rPr>
        <w:t xml:space="preserve"> The Seller further warrants in the terms of Schedule 2, subject to matters </w:t>
      </w:r>
      <w:r>
        <w:rPr>
          <w:rFonts w:ascii="Calibri" w:cs="Calibri" w:eastAsia="Calibri" w:hAnsi="Calibri"/>
          <w:b/>
          <w:bCs/>
          <w:sz w:val="21"/>
          <w:szCs w:val="21"/>
        </w:rPr>
        <w:t xml:space="preserve">fairly disclosed</w:t>
      </w:r>
      <w:r>
        <w:rPr>
          <w:rFonts w:ascii="Calibri" w:cs="Calibri" w:eastAsia="Calibri" w:hAnsi="Calibri"/>
          <w:sz w:val="21"/>
          <w:szCs w:val="21"/>
        </w:rPr>
        <w:t xml:space="preserve"> in the disclosure letter.</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i/>
          <w:iCs/>
          <w:sz w:val="21"/>
          <w:szCs w:val="21"/>
        </w:rPr>
        <w:t xml:space="preserve">A departing founder or minority holder should give </w:t>
      </w:r>
      <w:r>
        <w:rPr>
          <w:rFonts w:ascii="Calibri" w:cs="Calibri" w:eastAsia="Calibri" w:hAnsi="Calibri"/>
          <w:i/>
          <w:iCs/>
          <w:sz w:val="21"/>
          <w:szCs w:val="21"/>
        </w:rPr>
        <w:t xml:space="preserve">title warranties only</w:t>
      </w:r>
      <w:r>
        <w:rPr>
          <w:rFonts w:ascii="Calibri" w:cs="Calibri" w:eastAsia="Calibri" w:hAnsi="Calibri"/>
          <w:i/>
          <w:iCs/>
          <w:sz w:val="21"/>
          <w:szCs w:val="21"/>
        </w:rPr>
        <w:t xml:space="preserve">. Business warranties from someone who no longer runs the company are hard to justify and impossible for them to verify. Buyers wanting business warranties should look to continuing management.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626"/>
        <w:gridCol w:w="5012"/>
      </w:tblGrid>
      <w:tr>
        <w:trPr>
          <w:cantSplit/>
          <w:tblHeader/>
        </w:trPr>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Limit</w:t>
            </w:r>
          </w:p>
        </w:tc>
        <w:tc>
          <w:tcPr>
            <w:tcW w:type="dxa" w:w="50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on title warranties</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consideration received by the Seller</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on business warranties where given</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lower figure — negotiate]</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 limit — title</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[Longer]</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 limit — business warranties</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[18–24]</w:t>
            </w:r>
            <w:r>
              <w:rPr>
                <w:rFonts w:ascii="Calibri" w:cs="Calibri" w:eastAsia="Calibri" w:hAnsi="Calibri"/>
                <w:sz w:val="18"/>
                <w:szCs w:val="18"/>
              </w:rPr>
              <w:t xml:space="preserve"> months</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 minimis per claim</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Aggregate threshold</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Several liability where multiple sellers</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Each capped at their own consideration</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Fraud</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limit applies</w:t>
            </w:r>
          </w:p>
        </w:tc>
      </w:tr>
    </w:tbl>
    <w:p>
      <w:pPr>
        <w:keepNext/>
        <w:spacing w:after="120" w:before="280"/>
        <w:outlineLvl w:val="0"/>
      </w:pPr>
      <w:r>
        <w:rPr>
          <w:rFonts w:ascii="Calibri" w:cs="Calibri" w:eastAsia="Calibri" w:hAnsi="Calibri"/>
          <w:b/>
          <w:bCs/>
          <w:color w:val="14161B"/>
          <w:sz w:val="22"/>
          <w:szCs w:val="22"/>
        </w:rPr>
        <w:t xml:space="preserve">6. SELLER UNDERTAKINGS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Seller confirms it has </w:t>
      </w:r>
      <w:r>
        <w:rPr>
          <w:rFonts w:ascii="Calibri" w:cs="Calibri" w:eastAsia="Calibri" w:hAnsi="Calibri"/>
          <w:b/>
          <w:bCs/>
          <w:sz w:val="21"/>
          <w:szCs w:val="21"/>
        </w:rPr>
        <w:t xml:space="preserve">no claim against the Company</w:t>
      </w:r>
      <w:r>
        <w:rPr>
          <w:rFonts w:ascii="Calibri" w:cs="Calibri" w:eastAsia="Calibri" w:hAnsi="Calibri"/>
          <w:sz w:val="21"/>
          <w:szCs w:val="21"/>
        </w:rPr>
        <w:t xml:space="preserve"> — whether as employee, manager, shareholder or creditor — save as disclosed in Schedule 3.</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[Where the Seller was involved in the business]</w:t>
      </w:r>
      <w:r>
        <w:rPr>
          <w:rFonts w:ascii="Calibri" w:cs="Calibri" w:eastAsia="Calibri" w:hAnsi="Calibri"/>
          <w:sz w:val="21"/>
          <w:szCs w:val="21"/>
        </w:rPr>
        <w:t xml:space="preserve"> 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Completion the Seller shall not solicit customers or employees of the Company with whom it dealt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Completion.</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Seller shall keep confidential all information concerning the Company.</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[Where the Seller was an employee]</w:t>
      </w:r>
      <w:r>
        <w:rPr>
          <w:rFonts w:ascii="Calibri" w:cs="Calibri" w:eastAsia="Calibri" w:hAnsi="Calibri"/>
          <w:sz w:val="21"/>
          <w:szCs w:val="21"/>
        </w:rPr>
        <w:t xml:space="preserve"> Employment entitlements including </w:t>
      </w:r>
      <w:r>
        <w:rPr>
          <w:rFonts w:ascii="Calibri" w:cs="Calibri" w:eastAsia="Calibri" w:hAnsi="Calibri"/>
          <w:b/>
          <w:bCs/>
          <w:sz w:val="21"/>
          <w:szCs w:val="21"/>
        </w:rPr>
        <w:t xml:space="preserve">end-of-service gratuity</w:t>
      </w:r>
      <w:r>
        <w:rPr>
          <w:rFonts w:ascii="Calibri" w:cs="Calibri" w:eastAsia="Calibri" w:hAnsi="Calibri"/>
          <w:sz w:val="21"/>
          <w:szCs w:val="21"/>
        </w:rPr>
        <w:t xml:space="preserve"> are settled separately and are due </w:t>
      </w:r>
      <w:r>
        <w:rPr>
          <w:rFonts w:ascii="Calibri" w:cs="Calibri" w:eastAsia="Calibri" w:hAnsi="Calibri"/>
          <w:b/>
          <w:bCs/>
          <w:sz w:val="21"/>
          <w:szCs w:val="21"/>
        </w:rPr>
        <w:t xml:space="preserve">within 14 days</w:t>
      </w:r>
      <w:r>
        <w:rPr>
          <w:rFonts w:ascii="Calibri" w:cs="Calibri" w:eastAsia="Calibri" w:hAnsi="Calibri"/>
          <w:sz w:val="21"/>
          <w:szCs w:val="21"/>
        </w:rPr>
        <w:t xml:space="preserve"> of the last working day.</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i/>
          <w:iCs/>
          <w:sz w:val="21"/>
          <w:szCs w:val="21"/>
        </w:rPr>
        <w:t xml:space="preserve">Clause 6.1 matters. A departing shareholder with an undocumented loan account, unpaid salary or an equity promise is a claim waiting to surface after the buyer has paid.</w:t>
      </w:r>
    </w:p>
    <w:p>
      <w:pPr>
        <w:keepNext/>
        <w:spacing w:after="120" w:before="280"/>
        <w:outlineLvl w:val="0"/>
      </w:pPr>
      <w:r>
        <w:rPr>
          <w:rFonts w:ascii="Calibri" w:cs="Calibri" w:eastAsia="Calibri" w:hAnsi="Calibri"/>
          <w:b/>
          <w:bCs/>
          <w:color w:val="14161B"/>
          <w:sz w:val="22"/>
          <w:szCs w:val="22"/>
        </w:rPr>
        <w:t xml:space="preserve">7. TAX AND FORMALITIES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Each party is responsible for its own tax. </w:t>
      </w:r>
      <w:r>
        <w:rPr>
          <w:rFonts w:ascii="Calibri" w:cs="Calibri" w:eastAsia="Calibri" w:hAnsi="Calibri"/>
          <w:b/>
          <w:bCs/>
          <w:sz w:val="21"/>
          <w:szCs w:val="21"/>
        </w:rPr>
        <w:t xml:space="preserve">Capital gains are generally not taxed in the UAE</w:t>
      </w:r>
      <w:r>
        <w:rPr>
          <w:rFonts w:ascii="Calibri" w:cs="Calibri" w:eastAsia="Calibri" w:hAnsi="Calibri"/>
          <w:sz w:val="21"/>
          <w:szCs w:val="21"/>
        </w:rPr>
        <w:t xml:space="preserve">, but where shares are dealt with as part of a trade the gain may be treated as income — take advice.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Where the Seller is not resident, consider whether any withholding applies.</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parties shall bear their own costs, </w:t>
      </w:r>
      <w:r>
        <w:rPr>
          <w:rFonts w:ascii="Calibri" w:cs="Calibri" w:eastAsia="Calibri" w:hAnsi="Calibri"/>
          <w:b/>
          <w:bCs/>
          <w:sz w:val="21"/>
          <w:szCs w:val="21"/>
        </w:rPr>
        <w:t xml:space="preserve">[save that ______ shall bear the notarisation and authority fees]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b/>
          <w:bCs/>
          <w:sz w:val="21"/>
          <w:szCs w:val="21"/>
        </w:rPr>
        <w:t xml:space="preserve">[Where bilingual]</w:t>
      </w:r>
      <w:r>
        <w:rPr>
          <w:rFonts w:ascii="Calibri" w:cs="Calibri" w:eastAsia="Calibri" w:hAnsi="Calibri"/>
          <w:sz w:val="21"/>
          <w:szCs w:val="21"/>
        </w:rPr>
        <w:t xml:space="preserve"> Executed in English and Arabic. </w:t>
      </w:r>
      <w:r>
        <w:rPr>
          <w:rFonts w:ascii="Calibri" w:cs="Calibri" w:eastAsia="Calibri" w:hAnsi="Calibri"/>
          <w:b/>
          <w:bCs/>
          <w:sz w:val="21"/>
          <w:szCs w:val="21"/>
        </w:rPr>
        <w:t xml:space="preserve">In the event of conflict the Arabic version prevails.</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Seller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Buyer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Secondary Sale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662"/>
        <w:gridCol w:w="4047"/>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Check</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Confirmed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Pre-emption rights identified and dealt with</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transfer in breach may be void or refused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Manager or board approval obtained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Often a discretion under the constitution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shareholders’ agreement consent obtained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Investor consent is commonly required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Lock-up or transfer restriction expired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Founders are frequently locked up</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Tag-along offered where a majority holder is selling</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transfer ignoring tag may be void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Deed of adherence executed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Otherwise the Buyer is unbound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Buyer eligible given the licensed activity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Strategic or regulated activities may restrict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Attested power of attorney in place for any overseas party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Three to six weeks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Notarisation and authority approval completed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transfer is not effective without them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Licence amended to show the new shareholder</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Mainland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UBO register updated and filed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Threshold crossing triggers obligations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Seller removed from mandates, authorities and any POA</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Dormant authority is a real risk</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Seller confirmed no outstanding claims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Loan accounts and promises surface later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 entitlements settled where the Seller was employed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Within 14 days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Cap table reconciled to the operative record</w:t>
            </w:r>
          </w:p>
        </w:tc>
        <w:tc>
          <w:tcPr>
            <w:tcW w:type="dxa" w:w="4047"/>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Subscription and purchase are different documents</w:t>
      </w:r>
    </w:p>
    <w:p>
      <w:pPr>
        <w:spacing w:after="60" w:line="264"/>
        <w:jc w:val="both"/>
      </w:pPr>
      <w:r>
        <w:rPr>
          <w:rFonts w:ascii="Calibri" w:cs="Calibri" w:eastAsia="Calibri" w:hAnsi="Calibri"/>
          <w:sz w:val="19"/>
          <w:szCs w:val="19"/>
        </w:rPr>
        <w:t xml:space="preserve">A subscription issues new shares with the money going to the company; a purchase transfers existing shares with the money going to the seller. The warranty positions differ and so do the mechanics. Using the wrong document creates real problems at completion.</w:t>
      </w:r>
    </w:p>
    <w:p>
      <w:pPr>
        <w:keepNext/>
        <w:spacing w:after="40" w:before="140"/>
      </w:pPr>
      <w:r>
        <w:rPr>
          <w:rFonts w:ascii="Calibri" w:cs="Calibri" w:eastAsia="Calibri" w:hAnsi="Calibri"/>
          <w:b/>
          <w:bCs/>
          <w:color w:val="14161B"/>
          <w:sz w:val="20"/>
          <w:szCs w:val="20"/>
        </w:rPr>
        <w:t xml:space="preserve">On the mainland the transfer is not effective on signature</w:t>
      </w:r>
    </w:p>
    <w:p>
      <w:pPr>
        <w:spacing w:after="60" w:line="264"/>
        <w:jc w:val="both"/>
      </w:pPr>
      <w:r>
        <w:rPr>
          <w:rFonts w:ascii="Calibri" w:cs="Calibri" w:eastAsia="Calibri" w:hAnsi="Calibri"/>
          <w:sz w:val="19"/>
          <w:szCs w:val="19"/>
        </w:rPr>
        <w:t xml:space="preserve">It takes effect on notarisation of the amended constitutional document and approval by the authority, followed by a licence amendment. A buyer who has paid and signed but not completed those steps is not yet a shareholder. Build weeks into the timetable.</w:t>
      </w:r>
    </w:p>
    <w:p>
      <w:pPr>
        <w:keepNext/>
        <w:spacing w:after="40" w:before="140"/>
      </w:pPr>
      <w:r>
        <w:rPr>
          <w:rFonts w:ascii="Calibri" w:cs="Calibri" w:eastAsia="Calibri" w:hAnsi="Calibri"/>
          <w:b/>
          <w:bCs/>
          <w:color w:val="14161B"/>
          <w:sz w:val="20"/>
          <w:szCs w:val="20"/>
        </w:rPr>
        <w:t xml:space="preserve">Overseas parties need attested powers of attorney</w:t>
      </w:r>
    </w:p>
    <w:p>
      <w:pPr>
        <w:spacing w:after="60" w:line="264"/>
        <w:jc w:val="both"/>
      </w:pPr>
      <w:r>
        <w:rPr>
          <w:rFonts w:ascii="Calibri" w:cs="Calibri" w:eastAsia="Calibri" w:hAnsi="Calibri"/>
          <w:sz w:val="19"/>
          <w:szCs w:val="19"/>
        </w:rPr>
        <w:t xml:space="preserve">A seller or buyer who cannot attend the notary must be represented under a power of attorney notarised abroad, legalised through the UAE embassy and attested by the Ministry of Foreign Affairs. Three to six weeks, and it must start before anything else.</w:t>
      </w:r>
    </w:p>
    <w:p>
      <w:pPr>
        <w:keepNext/>
        <w:spacing w:after="40" w:before="140"/>
      </w:pPr>
      <w:r>
        <w:rPr>
          <w:rFonts w:ascii="Calibri" w:cs="Calibri" w:eastAsia="Calibri" w:hAnsi="Calibri"/>
          <w:b/>
          <w:bCs/>
          <w:color w:val="14161B"/>
          <w:sz w:val="20"/>
          <w:szCs w:val="20"/>
        </w:rPr>
        <w:t xml:space="preserve">Pre-emption first, always</w:t>
      </w:r>
    </w:p>
    <w:p>
      <w:pPr>
        <w:spacing w:after="60" w:line="264"/>
        <w:jc w:val="both"/>
      </w:pPr>
      <w:r>
        <w:rPr>
          <w:rFonts w:ascii="Calibri" w:cs="Calibri" w:eastAsia="Calibri" w:hAnsi="Calibri"/>
          <w:sz w:val="19"/>
          <w:szCs w:val="19"/>
        </w:rPr>
        <w:t xml:space="preserve">Where the constitution or a shareholders’ agreement gives existing holders a right of first refusal, a transfer completed without offering it can be void or refused registration. It is the step most often skipped in a friendly sale between people who know each other.</w:t>
      </w:r>
    </w:p>
    <w:p>
      <w:pPr>
        <w:keepNext/>
        <w:spacing w:after="40" w:before="140"/>
      </w:pPr>
      <w:r>
        <w:rPr>
          <w:rFonts w:ascii="Calibri" w:cs="Calibri" w:eastAsia="Calibri" w:hAnsi="Calibri"/>
          <w:b/>
          <w:bCs/>
          <w:color w:val="14161B"/>
          <w:sz w:val="20"/>
          <w:szCs w:val="20"/>
        </w:rPr>
        <w:t xml:space="preserve">Managers can refuse to approve a transfer</w:t>
      </w:r>
    </w:p>
    <w:p>
      <w:pPr>
        <w:spacing w:after="60" w:line="264"/>
        <w:jc w:val="both"/>
      </w:pPr>
      <w:r>
        <w:rPr>
          <w:rFonts w:ascii="Calibri" w:cs="Calibri" w:eastAsia="Calibri" w:hAnsi="Calibri"/>
          <w:sz w:val="19"/>
          <w:szCs w:val="19"/>
        </w:rPr>
        <w:t xml:space="preserve">Constitutional documents frequently give a discretion to decline. A buyer who has paid without securing approval may find itself unable to be recorded as a shareholder. Deal with it as a condition, not an assumption.</w:t>
      </w:r>
    </w:p>
    <w:p>
      <w:pPr>
        <w:keepNext/>
        <w:spacing w:after="40" w:before="140"/>
      </w:pPr>
      <w:r>
        <w:rPr>
          <w:rFonts w:ascii="Calibri" w:cs="Calibri" w:eastAsia="Calibri" w:hAnsi="Calibri"/>
          <w:b/>
          <w:bCs/>
          <w:color w:val="14161B"/>
          <w:sz w:val="20"/>
          <w:szCs w:val="20"/>
        </w:rPr>
        <w:t xml:space="preserve">Check the buyer is eligible for the activity</w:t>
      </w:r>
    </w:p>
    <w:p>
      <w:pPr>
        <w:spacing w:after="60" w:line="264"/>
        <w:jc w:val="both"/>
      </w:pPr>
      <w:r>
        <w:rPr>
          <w:rFonts w:ascii="Calibri" w:cs="Calibri" w:eastAsia="Calibri" w:hAnsi="Calibri"/>
          <w:sz w:val="19"/>
          <w:szCs w:val="19"/>
        </w:rPr>
        <w:t xml:space="preserve">Where the company carries a strategic-impact activity or a regulated licence, introducing a new shareholder can raise ownership or approval questions that did not arise at incorporation. Confirm before agreeing the transfer, not at the counter.</w:t>
      </w:r>
    </w:p>
    <w:p>
      <w:pPr>
        <w:keepNext/>
        <w:spacing w:after="40" w:before="140"/>
      </w:pPr>
      <w:r>
        <w:rPr>
          <w:rFonts w:ascii="Calibri" w:cs="Calibri" w:eastAsia="Calibri" w:hAnsi="Calibri"/>
          <w:b/>
          <w:bCs/>
          <w:color w:val="14161B"/>
          <w:sz w:val="20"/>
          <w:szCs w:val="20"/>
        </w:rPr>
        <w:t xml:space="preserve">A departing seller should give title warranties only</w:t>
      </w:r>
    </w:p>
    <w:p>
      <w:pPr>
        <w:spacing w:after="60" w:line="264"/>
        <w:jc w:val="both"/>
      </w:pPr>
      <w:r>
        <w:rPr>
          <w:rFonts w:ascii="Calibri" w:cs="Calibri" w:eastAsia="Calibri" w:hAnsi="Calibri"/>
          <w:sz w:val="19"/>
          <w:szCs w:val="19"/>
        </w:rPr>
        <w:t xml:space="preserve">Business warranties from someone who no longer manages the company are difficult to justify and impossible for them to verify. Buyers wanting business warranties should look to continuing management, not to an exiting minority holder.</w:t>
      </w:r>
    </w:p>
    <w:p>
      <w:pPr>
        <w:keepNext/>
        <w:spacing w:after="40" w:before="140"/>
      </w:pPr>
      <w:r>
        <w:rPr>
          <w:rFonts w:ascii="Calibri" w:cs="Calibri" w:eastAsia="Calibri" w:hAnsi="Calibri"/>
          <w:b/>
          <w:bCs/>
          <w:color w:val="14161B"/>
          <w:sz w:val="20"/>
          <w:szCs w:val="20"/>
        </w:rPr>
        <w:t xml:space="preserve">Several liability where there are multiple sellers</w:t>
      </w:r>
    </w:p>
    <w:p>
      <w:pPr>
        <w:spacing w:after="60" w:line="264"/>
        <w:jc w:val="both"/>
      </w:pPr>
      <w:r>
        <w:rPr>
          <w:rFonts w:ascii="Calibri" w:cs="Calibri" w:eastAsia="Calibri" w:hAnsi="Calibri"/>
          <w:sz w:val="19"/>
          <w:szCs w:val="19"/>
        </w:rPr>
        <w:t xml:space="preserve">Each seller should be liable only for its own warranties, capped at its own consideration. Joint liability lets a buyer pursue one seller for the whole claim and leave them to chase the others. This is the most important limitation for any selling shareholder.</w:t>
      </w:r>
    </w:p>
    <w:p>
      <w:pPr>
        <w:keepNext/>
        <w:spacing w:after="40" w:before="140"/>
      </w:pPr>
      <w:r>
        <w:rPr>
          <w:rFonts w:ascii="Calibri" w:cs="Calibri" w:eastAsia="Calibri" w:hAnsi="Calibri"/>
          <w:b/>
          <w:bCs/>
          <w:color w:val="14161B"/>
          <w:sz w:val="20"/>
          <w:szCs w:val="20"/>
        </w:rPr>
        <w:t xml:space="preserve">Get the no-claims confirmation</w:t>
      </w:r>
    </w:p>
    <w:p>
      <w:pPr>
        <w:spacing w:after="60" w:line="264"/>
        <w:jc w:val="both"/>
      </w:pPr>
      <w:r>
        <w:rPr>
          <w:rFonts w:ascii="Calibri" w:cs="Calibri" w:eastAsia="Calibri" w:hAnsi="Calibri"/>
          <w:sz w:val="19"/>
          <w:szCs w:val="19"/>
        </w:rPr>
        <w:t xml:space="preserve">A departing shareholder with an undocumented loan account, unpaid salary or an informal equity promise is a claim waiting to surface after the buyer has paid. Clause 6.1 and Schedule 3 make it explicit.</w:t>
      </w:r>
    </w:p>
    <w:p>
      <w:pPr>
        <w:keepNext/>
        <w:spacing w:after="40" w:before="140"/>
      </w:pPr>
      <w:r>
        <w:rPr>
          <w:rFonts w:ascii="Calibri" w:cs="Calibri" w:eastAsia="Calibri" w:hAnsi="Calibri"/>
          <w:b/>
          <w:bCs/>
          <w:color w:val="14161B"/>
          <w:sz w:val="20"/>
          <w:szCs w:val="20"/>
        </w:rPr>
        <w:t xml:space="preserve">Settle employment entitlements separately</w:t>
      </w:r>
    </w:p>
    <w:p>
      <w:pPr>
        <w:spacing w:after="60" w:line="264"/>
        <w:jc w:val="both"/>
      </w:pPr>
      <w:r>
        <w:rPr>
          <w:rFonts w:ascii="Calibri" w:cs="Calibri" w:eastAsia="Calibri" w:hAnsi="Calibri"/>
          <w:sz w:val="19"/>
          <w:szCs w:val="19"/>
        </w:rPr>
        <w:t xml:space="preserve">Where the seller was also an employee, gratuity, leave and final salary are due within 14 days of the last working day and are separate from the share consideration. Two processes, two timelines, both easy to conflate in a negotiated exit.</w:t>
      </w:r>
    </w:p>
    <w:p>
      <w:pPr>
        <w:keepNext/>
        <w:spacing w:after="40" w:before="140"/>
      </w:pPr>
      <w:r>
        <w:rPr>
          <w:rFonts w:ascii="Calibri" w:cs="Calibri" w:eastAsia="Calibri" w:hAnsi="Calibri"/>
          <w:b/>
          <w:bCs/>
          <w:color w:val="14161B"/>
          <w:sz w:val="20"/>
          <w:szCs w:val="20"/>
        </w:rPr>
        <w:t xml:space="preserve">Remove the seller’s authority at completion</w:t>
      </w:r>
    </w:p>
    <w:p>
      <w:pPr>
        <w:spacing w:after="60" w:line="264"/>
        <w:jc w:val="both"/>
      </w:pPr>
      <w:r>
        <w:rPr>
          <w:rFonts w:ascii="Calibri" w:cs="Calibri" w:eastAsia="Calibri" w:hAnsi="Calibri"/>
          <w:sz w:val="19"/>
          <w:szCs w:val="19"/>
        </w:rPr>
        <w:t xml:space="preserve">Resigning an office does not remove a bank mandate, a system login, a name from the licence or a live power of attorney. Departed shareholders retaining authority is among the most common findings in later diligence.</w:t>
      </w:r>
    </w:p>
    <w:p>
      <w:pPr>
        <w:keepNext/>
        <w:spacing w:after="40" w:before="140"/>
      </w:pPr>
      <w:r>
        <w:rPr>
          <w:rFonts w:ascii="Calibri" w:cs="Calibri" w:eastAsia="Calibri" w:hAnsi="Calibri"/>
          <w:b/>
          <w:bCs/>
          <w:color w:val="14161B"/>
          <w:sz w:val="20"/>
          <w:szCs w:val="20"/>
        </w:rPr>
        <w:t xml:space="preserve">Earn-outs need objective metrics and buyer restrictions</w:t>
      </w:r>
    </w:p>
    <w:p>
      <w:pPr>
        <w:spacing w:after="60" w:line="264"/>
        <w:jc w:val="both"/>
      </w:pPr>
      <w:r>
        <w:rPr>
          <w:rFonts w:ascii="Calibri" w:cs="Calibri" w:eastAsia="Calibri" w:hAnsi="Calibri"/>
          <w:sz w:val="19"/>
          <w:szCs w:val="19"/>
        </w:rPr>
        <w:t xml:space="preserve">A metric the buyer controls, with no restriction on acting to depress it, is an invitation to dispute. Define the computation, give the seller audit rights, and restrict restructuring that would defeat it.</w:t>
      </w:r>
    </w:p>
    <w:p>
      <w:pPr>
        <w:keepNext/>
        <w:spacing w:after="40" w:before="140"/>
      </w:pPr>
      <w:r>
        <w:rPr>
          <w:rFonts w:ascii="Calibri" w:cs="Calibri" w:eastAsia="Calibri" w:hAnsi="Calibri"/>
          <w:b/>
          <w:bCs/>
          <w:color w:val="14161B"/>
          <w:sz w:val="20"/>
          <w:szCs w:val="20"/>
        </w:rPr>
        <w:t xml:space="preserve">Update the UBO register at completion</w:t>
      </w:r>
    </w:p>
    <w:p>
      <w:pPr>
        <w:spacing w:after="60" w:line="264"/>
        <w:jc w:val="both"/>
      </w:pPr>
      <w:r>
        <w:rPr>
          <w:rFonts w:ascii="Calibri" w:cs="Calibri" w:eastAsia="Calibri" w:hAnsi="Calibri"/>
          <w:sz w:val="19"/>
          <w:szCs w:val="19"/>
        </w:rPr>
        <w:t xml:space="preserve">A buyer crossing the significant-interest threshold becomes a registrable controller with filing obligations, and the seller may cease to be one. Both changes need recording and filing on the change.</w:t>
      </w:r>
    </w:p>
    <w:p>
      <w:pPr>
        <w:keepNext/>
        <w:spacing w:after="40" w:before="140"/>
      </w:pPr>
      <w:r>
        <w:rPr>
          <w:rFonts w:ascii="Calibri" w:cs="Calibri" w:eastAsia="Calibri" w:hAnsi="Calibri"/>
          <w:b/>
          <w:bCs/>
          <w:color w:val="14161B"/>
          <w:sz w:val="20"/>
          <w:szCs w:val="20"/>
        </w:rPr>
        <w:t xml:space="preserve">Capital gains are generally untaxed — but check the character</w:t>
      </w:r>
    </w:p>
    <w:p>
      <w:pPr>
        <w:spacing w:after="60" w:line="264"/>
        <w:jc w:val="both"/>
      </w:pPr>
      <w:r>
        <w:rPr>
          <w:rFonts w:ascii="Calibri" w:cs="Calibri" w:eastAsia="Calibri" w:hAnsi="Calibri"/>
          <w:sz w:val="19"/>
          <w:szCs w:val="19"/>
        </w:rPr>
        <w:t xml:space="preserve">The UAE does not generally tax capital gains. Where shares are held or dealt with as part of a trade, the gain may be treated as income. The distinction turns on the facts and both parties should take their own advice.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Notarisation and approval requirements, licence amendment procedures, UBO obligations, ownership restrictions for particular activities and the tax treatment of share disposals all change — take UAE legal and tax advice before any material secondary sale.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2026-08-23T16:28:36.085Z</dcterms:created>
  <dcterms:modified xsi:type="dcterms:W3CDTF">2026-08-23T16:28:36.085Z</dcterms:modified>
</cp:coreProperties>
</file>

<file path=docProps/custom.xml><?xml version="1.0" encoding="utf-8"?>
<Properties xmlns="http://schemas.openxmlformats.org/officeDocument/2006/custom-properties" xmlns:vt="http://schemas.openxmlformats.org/officeDocument/2006/docPropsVTypes"/>
</file>