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SETTLEMENT AGREEMENT</w:t>
      </w:r>
    </w:p>
    <w:p>
      <w:pPr>
        <w:spacing w:after="260"/>
        <w:jc w:val="center"/>
      </w:pPr>
      <w:r>
        <w:rPr>
          <w:rFonts w:ascii="Calibri" w:cs="Calibri" w:eastAsia="Calibri" w:hAnsi="Calibri"/>
          <w:i/>
          <w:iCs/>
          <w:color w:val="6E7480"/>
          <w:sz w:val="19"/>
          <w:szCs w:val="19"/>
        </w:rPr>
        <w:t xml:space="preserve">Ending employment by agreement</w:t>
      </w:r>
    </w:p>
    <w:p>
      <w:pPr>
        <w:spacing w:after="180" w:before="0" w:line="276"/>
        <w:jc w:val="both"/>
      </w:pPr>
      <w:r>
        <w:rPr>
          <w:rFonts w:ascii="Calibri" w:cs="Calibri" w:eastAsia="Calibri" w:hAnsi="Calibri"/>
          <w:i/>
          <w:iCs/>
          <w:color w:val="6E7480"/>
          <w:sz w:val="21"/>
          <w:szCs w:val="21"/>
        </w:rPr>
        <w:t xml:space="preserve">A settlement can resolve an exit cleanly, but it </w:t>
      </w:r>
      <w:r>
        <w:rPr>
          <w:rFonts w:ascii="Calibri" w:cs="Calibri" w:eastAsia="Calibri" w:hAnsi="Calibri"/>
          <w:b/>
          <w:bCs/>
          <w:i/>
          <w:iCs/>
          <w:color w:val="6E7480"/>
          <w:sz w:val="21"/>
          <w:szCs w:val="21"/>
        </w:rPr>
        <w:t xml:space="preserve">cannot buy out statutory entitlements</w:t>
      </w:r>
      <w:r>
        <w:rPr>
          <w:rFonts w:ascii="Calibri" w:cs="Calibri" w:eastAsia="Calibri" w:hAnsi="Calibri"/>
          <w:i/>
          <w:iCs/>
          <w:color w:val="6E7480"/>
          <w:sz w:val="21"/>
          <w:szCs w:val="21"/>
        </w:rPr>
        <w:t xml:space="preserve">. Gratuity, accrued leave and notice remain payable, and payment is still due within 14 days. What a settlement adds is an agreed additional sum in exchange for a release — and the release only works if the entitlements underneath it were paid properly.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Joined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  Last working day: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ending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[Mutual agreement / restructuring / resignation on terms]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Statutory entitlements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due within 14 days regardless of this agreement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Additional settlement sum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Visa cancellation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After settlement —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Independent advice taken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 declined]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[English / Bilingual — Arabic prevails onshore]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A SETTLEMENT CAN AND CANNOT DO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Can</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Cannot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 a payment above statutory entitlements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Reduce or waive gratuity, leave or notice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an agreed reason for leaving</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the date entitlements fall due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Agree a reference and an announcement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Prevent a complaint to MOHRE or the courts as a matter of fact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Agree confidentiality on both sides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Silence a report of unlawful conduct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return of property and access removal</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Bypass the permit and visa cancellation process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Reaffirm confidentiality and post-termination restrictions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Create restrictions wider than the law allows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Resolve a disputed claim</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Make an unlawful deduction lawful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Pay the statutory entitlements properly first, then settle.</w:t>
      </w:r>
      <w:r>
        <w:rPr>
          <w:rFonts w:ascii="Calibri" w:cs="Calibri" w:eastAsia="Calibri" w:hAnsi="Calibri"/>
          <w:sz w:val="21"/>
          <w:szCs w:val="21"/>
        </w:rPr>
        <w:t xml:space="preserve"> A settlement built on an underpayment of gratuity or leave is vulnerable, and the employee retains the underlying claim for the shortfall.</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A release is not a bar to a complaint being made. Its value is that the employer has paid correctly, documented it, and can show the employee agreed — not that the door is bolted.</w:t>
      </w:r>
    </w:p>
    <w:p>
      <w:pPr>
        <w:keepNext/>
        <w:spacing w:after="120" w:before="280"/>
        <w:outlineLvl w:val="0"/>
      </w:pPr>
      <w:r>
        <w:rPr>
          <w:rFonts w:ascii="Calibri" w:cs="Calibri" w:eastAsia="Calibri" w:hAnsi="Calibri"/>
          <w:b/>
          <w:bCs/>
          <w:color w:val="14161B"/>
          <w:sz w:val="22"/>
          <w:szCs w:val="22"/>
        </w:rPr>
        <w:t xml:space="preserve">2. THE PAYMENTS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240"/>
        <w:gridCol w:w="2698"/>
        <w:gridCol w:w="2219"/>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Component</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221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AED</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to the last working day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Allowances to the last working day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for untaken annual leave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 at </w:t>
            </w:r>
            <w:r>
              <w:rPr>
                <w:rFonts w:ascii="Calibri" w:cs="Calibri" w:eastAsia="Calibri" w:hAnsi="Calibri"/>
                <w:b/>
                <w:bCs/>
                <w:sz w:val="17"/>
                <w:szCs w:val="17"/>
              </w:rPr>
              <w:t xml:space="preserve">[RATE]</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in lieu of notice]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End-of-service gratuity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Basic </w:t>
            </w:r>
            <w:r>
              <w:rPr>
                <w:rFonts w:ascii="Calibri" w:cs="Calibri" w:eastAsia="Calibri" w:hAnsi="Calibri"/>
                <w:b/>
                <w:bCs/>
                <w:sz w:val="17"/>
                <w:szCs w:val="17"/>
              </w:rPr>
              <w:t xml:space="preserve">[AMOUNT]</w:t>
            </w:r>
            <w:r>
              <w:rPr>
                <w:rFonts w:ascii="Calibri" w:cs="Calibri" w:eastAsia="Calibri" w:hAnsi="Calibri"/>
                <w:sz w:val="17"/>
                <w:szCs w:val="17"/>
              </w:rPr>
              <w:t xml:space="preserve">, </w:t>
            </w:r>
            <w:r>
              <w:rPr>
                <w:rFonts w:ascii="Calibri" w:cs="Calibri" w:eastAsia="Calibri" w:hAnsi="Calibri"/>
                <w:b/>
                <w:bCs/>
                <w:sz w:val="17"/>
                <w:szCs w:val="17"/>
              </w:rPr>
              <w:t xml:space="preserve">[YEARS]</w:t>
            </w:r>
            <w:r>
              <w:rPr>
                <w:rFonts w:ascii="Calibri" w:cs="Calibri" w:eastAsia="Calibri" w:hAnsi="Calibri"/>
                <w:sz w:val="17"/>
                <w:szCs w:val="17"/>
              </w:rPr>
              <w:t xml:space="preserve"> years</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[Scheme benefit — DIFC/ADGM]</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Through the administrator</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[Separate]</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[Repatriation ticket or its value]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Outstanding reimbursements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Statutory subtotal — payable within 14 days</w:t>
            </w:r>
          </w:p>
        </w:tc>
        <w:tc>
          <w:tcPr>
            <w:tcW w:type="dxa" w:w="2698"/>
            <w:tcMar>
              <w:top w:type="dxa" w:w="70"/>
              <w:left w:type="dxa" w:w="100"/>
              <w:bottom w:type="dxa" w:w="70"/>
              <w:right w:type="dxa" w:w="100"/>
            </w:tcMar>
            <w:vAlign w:val="center"/>
          </w:tcPr>
          <w:p>
            <w:pPr>
              <w:spacing w:after="0" w:line="240"/>
              <w:jc w:val="left"/>
            </w:pP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Additional settlement sum</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 gratia, in consideration of the release</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lawful deductions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[Advance, loan, notice shortfall]</w:t>
            </w: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rPr>
          <w:cantSplit/>
        </w:trPr>
        <w:tc>
          <w:tcPr>
            <w:tcW w:type="dxa" w:w="481"/>
            <w:tcMar>
              <w:top w:type="dxa" w:w="70"/>
              <w:left w:type="dxa" w:w="100"/>
              <w:bottom w:type="dxa" w:w="70"/>
              <w:right w:type="dxa" w:w="100"/>
            </w:tcMar>
            <w:vAlign w:val="center"/>
          </w:tcPr>
          <w:p>
            <w:pPr>
              <w:spacing w:after="0" w:line="240"/>
              <w:jc w:val="center"/>
            </w:pP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payable</w:t>
            </w:r>
          </w:p>
        </w:tc>
        <w:tc>
          <w:tcPr>
            <w:tcW w:type="dxa" w:w="2698"/>
            <w:tcMar>
              <w:top w:type="dxa" w:w="70"/>
              <w:left w:type="dxa" w:w="100"/>
              <w:bottom w:type="dxa" w:w="70"/>
              <w:right w:type="dxa" w:w="100"/>
            </w:tcMar>
            <w:vAlign w:val="center"/>
          </w:tcPr>
          <w:p>
            <w:pPr>
              <w:spacing w:after="0" w:line="240"/>
              <w:jc w:val="left"/>
            </w:pPr>
          </w:p>
        </w:tc>
        <w:tc>
          <w:tcPr>
            <w:tcW w:type="dxa" w:w="221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Employer costs cannot be deducted</w:t>
      </w:r>
      <w:r>
        <w:rPr>
          <w:rFonts w:ascii="Calibri" w:cs="Calibri" w:eastAsia="Calibri" w:hAnsi="Calibri"/>
          <w:sz w:val="21"/>
          <w:szCs w:val="21"/>
        </w:rPr>
        <w:t xml:space="preserve"> — recruitment, permit, visa, medical, Emirates ID. Nor can training costs be recovered unless a lawful agreement provides for it and the deduction stays within statutory limits.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Payment is made to </w:t>
      </w:r>
      <w:r>
        <w:rPr>
          <w:rFonts w:ascii="Calibri" w:cs="Calibri" w:eastAsia="Calibri" w:hAnsi="Calibri"/>
          <w:b/>
          <w:bCs/>
          <w:sz w:val="21"/>
          <w:szCs w:val="21"/>
        </w:rPr>
        <w:t xml:space="preserve">[ACCOUNT]</w:t>
      </w:r>
      <w:r>
        <w:rPr>
          <w:rFonts w:ascii="Calibri" w:cs="Calibri" w:eastAsia="Calibri" w:hAnsi="Calibri"/>
          <w:sz w:val="21"/>
          <w:szCs w:val="21"/>
        </w:rPr>
        <w:t xml:space="preserve"> by </w:t>
      </w:r>
      <w:r>
        <w:rPr>
          <w:rFonts w:ascii="Calibri" w:cs="Calibri" w:eastAsia="Calibri" w:hAnsi="Calibri"/>
          <w:b/>
          <w:bCs/>
          <w:sz w:val="21"/>
          <w:szCs w:val="21"/>
        </w:rPr>
        <w:t xml:space="preserve">[DATE]</w:t>
      </w:r>
      <w:r>
        <w:rPr>
          <w:rFonts w:ascii="Calibri" w:cs="Calibri" w:eastAsia="Calibri" w:hAnsi="Calibri"/>
          <w:sz w:val="21"/>
          <w:szCs w:val="21"/>
        </w:rPr>
        <w:t xml:space="preserve">, and where the employee remains on payroll, </w:t>
      </w:r>
      <w:r>
        <w:rPr>
          <w:rFonts w:ascii="Calibri" w:cs="Calibri" w:eastAsia="Calibri" w:hAnsi="Calibri"/>
          <w:b/>
          <w:bCs/>
          <w:sz w:val="21"/>
          <w:szCs w:val="21"/>
        </w:rPr>
        <w:t xml:space="preserve">through WPS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RELEASE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In consideration of the additional sum, the Employee releases the Company from all claims arising from the employment or its termination, </w:t>
      </w:r>
      <w:r>
        <w:rPr>
          <w:rFonts w:ascii="Calibri" w:cs="Calibri" w:eastAsia="Calibri" w:hAnsi="Calibri"/>
          <w:b/>
          <w:bCs/>
          <w:sz w:val="21"/>
          <w:szCs w:val="21"/>
        </w:rPr>
        <w:t xml:space="preserve">save for</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any claim to enforce this agreement;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accrued pension or scheme benefits;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claim for personal injury not known at the date of this agreement;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[any other carve-out]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Employee confirms they have received all sums due and are not aware of any other claim.</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Company releases the Employee from any claim arising from the employment, save for fraud or wilful misconduct.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A mutual release is worth including. An employee asked to release the employer while remaining exposed themselves will reasonably ask why, and the imbalance is a common reason settlements stall.</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OTHER TERMS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Confidentiality.</w:t>
      </w:r>
      <w:r>
        <w:rPr>
          <w:rFonts w:ascii="Calibri" w:cs="Calibri" w:eastAsia="Calibri" w:hAnsi="Calibri"/>
          <w:sz w:val="21"/>
          <w:szCs w:val="21"/>
        </w:rPr>
        <w:t xml:space="preserve"> Both parties keep the terms of this agreement confidential, save as required by law, to professional advisers, or to immediate family.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Nothing in this agreement prevents either party from reporting conduct to a regulator or authority, or from cooperating with an investigation.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Reference.</w:t>
      </w:r>
      <w:r>
        <w:rPr>
          <w:rFonts w:ascii="Calibri" w:cs="Calibri" w:eastAsia="Calibri" w:hAnsi="Calibri"/>
          <w:sz w:val="21"/>
          <w:szCs w:val="21"/>
        </w:rPr>
        <w:t xml:space="preserve"> The Company will provide a factual reference confirming role and dates </w:t>
      </w:r>
      <w:r>
        <w:rPr>
          <w:rFonts w:ascii="Calibri" w:cs="Calibri" w:eastAsia="Calibri" w:hAnsi="Calibri"/>
          <w:b/>
          <w:bCs/>
          <w:sz w:val="21"/>
          <w:szCs w:val="21"/>
        </w:rPr>
        <w:t xml:space="preserve">[in the form annexed]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Announcement.</w:t>
      </w:r>
      <w:r>
        <w:rPr>
          <w:rFonts w:ascii="Calibri" w:cs="Calibri" w:eastAsia="Calibri" w:hAnsi="Calibri"/>
          <w:sz w:val="21"/>
          <w:szCs w:val="21"/>
        </w:rPr>
        <w:t xml:space="preserve"> The departure will be described internally and externally as </w:t>
      </w:r>
      <w:r>
        <w:rPr>
          <w:rFonts w:ascii="Calibri" w:cs="Calibri" w:eastAsia="Calibri" w:hAnsi="Calibri"/>
          <w:b/>
          <w:bCs/>
          <w:sz w:val="21"/>
          <w:szCs w:val="21"/>
        </w:rPr>
        <w:t xml:space="preserve">[AGREED WORDING]</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Continuing obligations.</w:t>
      </w:r>
      <w:r>
        <w:rPr>
          <w:rFonts w:ascii="Calibri" w:cs="Calibri" w:eastAsia="Calibri" w:hAnsi="Calibri"/>
          <w:sz w:val="21"/>
          <w:szCs w:val="21"/>
        </w:rPr>
        <w:t xml:space="preserve"> Confidentiality and any post-termination restrictions in the Employee’s contract continue, to the extent enforceable.</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b/>
          <w:bCs/>
          <w:sz w:val="21"/>
          <w:szCs w:val="21"/>
        </w:rPr>
        <w:t xml:space="preserve">Company property.</w:t>
      </w:r>
      <w:r>
        <w:rPr>
          <w:rFonts w:ascii="Calibri" w:cs="Calibri" w:eastAsia="Calibri" w:hAnsi="Calibri"/>
          <w:sz w:val="21"/>
          <w:szCs w:val="21"/>
        </w:rPr>
        <w:t xml:space="preserve"> Returned in full by </w:t>
      </w:r>
      <w:r>
        <w:rPr>
          <w:rFonts w:ascii="Calibri" w:cs="Calibri" w:eastAsia="Calibri" w:hAnsi="Calibri"/>
          <w:b/>
          <w:bCs/>
          <w:sz w:val="21"/>
          <w:szCs w:val="21"/>
        </w:rPr>
        <w:t xml:space="preserve">[DATE]</w:t>
      </w:r>
      <w:r>
        <w:rPr>
          <w:rFonts w:ascii="Calibri" w:cs="Calibri" w:eastAsia="Calibri" w:hAnsi="Calibri"/>
          <w:sz w:val="21"/>
          <w:szCs w:val="21"/>
        </w:rPr>
        <w:t xml:space="preserve">, including devices, documents, credentials and access cards. Company data removed from personal devices and accounts.</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b/>
          <w:bCs/>
          <w:sz w:val="21"/>
          <w:szCs w:val="21"/>
        </w:rPr>
        <w:t xml:space="preserve">Visa and permit.</w:t>
      </w:r>
      <w:r>
        <w:rPr>
          <w:rFonts w:ascii="Calibri" w:cs="Calibri" w:eastAsia="Calibri" w:hAnsi="Calibri"/>
          <w:sz w:val="21"/>
          <w:szCs w:val="21"/>
        </w:rPr>
        <w:t xml:space="preserve"> The Company will cancel the work permit and residence visa after settlement, and will explain the grace period that follows.</w:t>
      </w:r>
    </w:p>
    <w:p>
      <w:pPr>
        <w:keepNext/>
        <w:spacing w:after="120" w:before="280"/>
        <w:outlineLvl w:val="0"/>
      </w:pPr>
      <w:r>
        <w:rPr>
          <w:rFonts w:ascii="Calibri" w:cs="Calibri" w:eastAsia="Calibri" w:hAnsi="Calibri"/>
          <w:b/>
          <w:bCs/>
          <w:color w:val="14161B"/>
          <w:sz w:val="22"/>
          <w:szCs w:val="22"/>
        </w:rPr>
        <w:t xml:space="preserve">5. INDEPENDENT ADVICE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Employee confirms they have been given the opportunity to take independent legal advice on this agreement and have </w:t>
      </w:r>
      <w:r>
        <w:rPr>
          <w:rFonts w:ascii="Calibri" w:cs="Calibri" w:eastAsia="Calibri" w:hAnsi="Calibri"/>
          <w:b/>
          <w:bCs/>
          <w:sz w:val="21"/>
          <w:szCs w:val="21"/>
        </w:rPr>
        <w:t xml:space="preserve">[taken it / declined it]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Where the employee’s first language is not English, the agreement has been explained in </w:t>
      </w:r>
      <w:r>
        <w:rPr>
          <w:rFonts w:ascii="Calibri" w:cs="Calibri" w:eastAsia="Calibri" w:hAnsi="Calibri"/>
          <w:b/>
          <w:bCs/>
          <w:sz w:val="21"/>
          <w:szCs w:val="21"/>
        </w:rPr>
        <w:t xml:space="preserve">[LANGUAGE]</w:t>
      </w:r>
      <w:r>
        <w:rPr>
          <w:rFonts w:ascii="Calibri" w:cs="Calibri" w:eastAsia="Calibri" w:hAnsi="Calibri"/>
          <w:sz w:val="21"/>
          <w:szCs w:val="21"/>
        </w:rPr>
        <w:t xml:space="preserve">, or an Arabic version provided.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This matters more than it looks. An employee who signed a release they did not understand, under time pressure, with their visa about to be cancelled, is in a strong position to argue the agreement should not stand. The cost of giving proper time and a translation is trivial by comparison.</w:t>
      </w:r>
    </w:p>
    <w:p>
      <w:pPr>
        <w:keepNext/>
        <w:spacing w:after="120" w:before="280"/>
        <w:outlineLvl w:val="0"/>
      </w:pPr>
      <w:r>
        <w:rPr>
          <w:rFonts w:ascii="Calibri" w:cs="Calibri" w:eastAsia="Calibri" w:hAnsi="Calibri"/>
          <w:b/>
          <w:bCs/>
          <w:color w:val="14161B"/>
          <w:sz w:val="22"/>
          <w:szCs w:val="22"/>
        </w:rPr>
        <w:t xml:space="preserve">6.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3276"/>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Compute statutory entitlements accurately first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Before discussing any settlement sum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 the additional sum and the reason for it</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Present the agreement with the full calculation attached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 bare total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Give real time to consider — </w:t>
            </w:r>
            <w:r>
              <w:rPr>
                <w:rFonts w:ascii="Calibri" w:cs="Calibri" w:eastAsia="Calibri" w:hAnsi="Calibri"/>
                <w:b/>
                <w:bCs/>
                <w:sz w:val="17"/>
                <w:szCs w:val="17"/>
              </w:rPr>
              <w:t xml:space="preserve">[5]</w:t>
            </w:r>
            <w:r>
              <w:rPr>
                <w:rFonts w:ascii="Calibri" w:cs="Calibri" w:eastAsia="Calibri" w:hAnsi="Calibri"/>
                <w:b/>
                <w:bCs/>
                <w:sz w:val="17"/>
                <w:szCs w:val="17"/>
              </w:rPr>
              <w:t xml:space="preserve"> working days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Pressure undermines the release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Offer independent advice and a translation</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 within 14 days of the last working day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sums at minimum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Provide the settlement statement and reference</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scheme contributions up to date where applicable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DIFC / ADGM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Cancel permit and visa; explain the grace period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payment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Revoke access, cards and mandates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Last working day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the signed agreement and the calculation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Permanently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Passport: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Statutory entitlements survive the settlement</w:t>
      </w:r>
    </w:p>
    <w:p>
      <w:pPr>
        <w:spacing w:after="60" w:line="264"/>
        <w:jc w:val="both"/>
      </w:pPr>
      <w:r>
        <w:rPr>
          <w:rFonts w:ascii="Calibri" w:cs="Calibri" w:eastAsia="Calibri" w:hAnsi="Calibri"/>
          <w:sz w:val="19"/>
          <w:szCs w:val="19"/>
        </w:rPr>
        <w:t xml:space="preserve">Gratuity, accrued leave and notice remain payable in full and within 14 days of the last working day. A settlement adds a sum on top in exchange for a release. It cannot be used to reduce or buy out what the law requires.</w:t>
      </w:r>
    </w:p>
    <w:p>
      <w:pPr>
        <w:keepNext/>
        <w:spacing w:after="40" w:before="140"/>
      </w:pPr>
      <w:r>
        <w:rPr>
          <w:rFonts w:ascii="Calibri" w:cs="Calibri" w:eastAsia="Calibri" w:hAnsi="Calibri"/>
          <w:b/>
          <w:bCs/>
          <w:color w:val="14161B"/>
          <w:sz w:val="20"/>
          <w:szCs w:val="20"/>
        </w:rPr>
        <w:t xml:space="preserve">Compute the entitlements before discussing a settlement figure</w:t>
      </w:r>
    </w:p>
    <w:p>
      <w:pPr>
        <w:spacing w:after="60" w:line="264"/>
        <w:jc w:val="both"/>
      </w:pPr>
      <w:r>
        <w:rPr>
          <w:rFonts w:ascii="Calibri" w:cs="Calibri" w:eastAsia="Calibri" w:hAnsi="Calibri"/>
          <w:sz w:val="19"/>
          <w:szCs w:val="19"/>
        </w:rPr>
        <w:t xml:space="preserve">Negotiating a single total and then working backwards is how underpayments happen. Calculate what is legally due first, then decide what to add. The employee should see both figures separately.</w:t>
      </w:r>
    </w:p>
    <w:p>
      <w:pPr>
        <w:keepNext/>
        <w:spacing w:after="40" w:before="140"/>
      </w:pPr>
      <w:r>
        <w:rPr>
          <w:rFonts w:ascii="Calibri" w:cs="Calibri" w:eastAsia="Calibri" w:hAnsi="Calibri"/>
          <w:b/>
          <w:bCs/>
          <w:color w:val="14161B"/>
          <w:sz w:val="20"/>
          <w:szCs w:val="20"/>
        </w:rPr>
        <w:t xml:space="preserve">A release is not a bar to complaint</w:t>
      </w:r>
    </w:p>
    <w:p>
      <w:pPr>
        <w:spacing w:after="60" w:line="264"/>
        <w:jc w:val="both"/>
      </w:pPr>
      <w:r>
        <w:rPr>
          <w:rFonts w:ascii="Calibri" w:cs="Calibri" w:eastAsia="Calibri" w:hAnsi="Calibri"/>
          <w:sz w:val="19"/>
          <w:szCs w:val="19"/>
        </w:rPr>
        <w:t xml:space="preserve">An employee can still approach MOHRE or the courts. What the release gives you is evidence that you paid correctly, documented it, and that the employee agreed. Built on an underpayment, it protects very little.</w:t>
      </w:r>
    </w:p>
    <w:p>
      <w:pPr>
        <w:keepNext/>
        <w:spacing w:after="40" w:before="140"/>
      </w:pPr>
      <w:r>
        <w:rPr>
          <w:rFonts w:ascii="Calibri" w:cs="Calibri" w:eastAsia="Calibri" w:hAnsi="Calibri"/>
          <w:b/>
          <w:bCs/>
          <w:color w:val="14161B"/>
          <w:sz w:val="20"/>
          <w:szCs w:val="20"/>
        </w:rPr>
        <w:t xml:space="preserve">Give real time and offer advice</w:t>
      </w:r>
    </w:p>
    <w:p>
      <w:pPr>
        <w:spacing w:after="60" w:line="264"/>
        <w:jc w:val="both"/>
      </w:pPr>
      <w:r>
        <w:rPr>
          <w:rFonts w:ascii="Calibri" w:cs="Calibri" w:eastAsia="Calibri" w:hAnsi="Calibri"/>
          <w:sz w:val="19"/>
          <w:szCs w:val="19"/>
        </w:rPr>
        <w:t xml:space="preserve">An employee who signed under pressure, without understanding, with their visa about to be cancelled, has a strong argument the agreement should not stand. Five working days and an offer of independent advice cost almost nothing against that risk.</w:t>
      </w:r>
    </w:p>
    <w:p>
      <w:pPr>
        <w:keepNext/>
        <w:spacing w:after="40" w:before="140"/>
      </w:pPr>
      <w:r>
        <w:rPr>
          <w:rFonts w:ascii="Calibri" w:cs="Calibri" w:eastAsia="Calibri" w:hAnsi="Calibri"/>
          <w:b/>
          <w:bCs/>
          <w:color w:val="14161B"/>
          <w:sz w:val="20"/>
          <w:szCs w:val="20"/>
        </w:rPr>
        <w:t xml:space="preserve">Explain it in a language they read</w:t>
      </w:r>
    </w:p>
    <w:p>
      <w:pPr>
        <w:spacing w:after="60" w:line="264"/>
        <w:jc w:val="both"/>
      </w:pPr>
      <w:r>
        <w:rPr>
          <w:rFonts w:ascii="Calibri" w:cs="Calibri" w:eastAsia="Calibri" w:hAnsi="Calibri"/>
          <w:sz w:val="19"/>
          <w:szCs w:val="19"/>
        </w:rPr>
        <w:t xml:space="preserve">Where the employee’s first language is not English, explain the agreement in their language or provide an Arabic version. A signature on a document the person could not read is weak evidence of agreement.</w:t>
      </w:r>
    </w:p>
    <w:p>
      <w:pPr>
        <w:keepNext/>
        <w:spacing w:after="40" w:before="140"/>
      </w:pPr>
      <w:r>
        <w:rPr>
          <w:rFonts w:ascii="Calibri" w:cs="Calibri" w:eastAsia="Calibri" w:hAnsi="Calibri"/>
          <w:b/>
          <w:bCs/>
          <w:color w:val="14161B"/>
          <w:sz w:val="20"/>
          <w:szCs w:val="20"/>
        </w:rPr>
        <w:t xml:space="preserve">Make the release mutual</w:t>
      </w:r>
    </w:p>
    <w:p>
      <w:pPr>
        <w:spacing w:after="60" w:line="264"/>
        <w:jc w:val="both"/>
      </w:pPr>
      <w:r>
        <w:rPr>
          <w:rFonts w:ascii="Calibri" w:cs="Calibri" w:eastAsia="Calibri" w:hAnsi="Calibri"/>
          <w:sz w:val="19"/>
          <w:szCs w:val="19"/>
        </w:rPr>
        <w:t xml:space="preserve">An employee asked to release the employer while remaining exposed themselves will reasonably ask why. A mutual release, carved out for fraud and wilful misconduct, removes a common reason settlements stall.</w:t>
      </w:r>
    </w:p>
    <w:p>
      <w:pPr>
        <w:keepNext/>
        <w:spacing w:after="40" w:before="140"/>
      </w:pPr>
      <w:r>
        <w:rPr>
          <w:rFonts w:ascii="Calibri" w:cs="Calibri" w:eastAsia="Calibri" w:hAnsi="Calibri"/>
          <w:b/>
          <w:bCs/>
          <w:color w:val="14161B"/>
          <w:sz w:val="20"/>
          <w:szCs w:val="20"/>
        </w:rPr>
        <w:t xml:space="preserve">Carve out regulatory reporting</w:t>
      </w:r>
    </w:p>
    <w:p>
      <w:pPr>
        <w:spacing w:after="60" w:line="264"/>
        <w:jc w:val="both"/>
      </w:pPr>
      <w:r>
        <w:rPr>
          <w:rFonts w:ascii="Calibri" w:cs="Calibri" w:eastAsia="Calibri" w:hAnsi="Calibri"/>
          <w:sz w:val="19"/>
          <w:szCs w:val="19"/>
        </w:rPr>
        <w:t xml:space="preserve">A confidentiality clause that appears to prevent reporting conduct to a regulator is objectionable and may be unenforceable. Clause 4.2 states expressly that nothing prevents it — include it even where no such conduct is in issue.</w:t>
      </w:r>
    </w:p>
    <w:p>
      <w:pPr>
        <w:keepNext/>
        <w:spacing w:after="40" w:before="140"/>
      </w:pPr>
      <w:r>
        <w:rPr>
          <w:rFonts w:ascii="Calibri" w:cs="Calibri" w:eastAsia="Calibri" w:hAnsi="Calibri"/>
          <w:b/>
          <w:bCs/>
          <w:color w:val="14161B"/>
          <w:sz w:val="20"/>
          <w:szCs w:val="20"/>
        </w:rPr>
        <w:t xml:space="preserve">Do not deduct employer costs</w:t>
      </w:r>
    </w:p>
    <w:p>
      <w:pPr>
        <w:spacing w:after="60" w:line="264"/>
        <w:jc w:val="both"/>
      </w:pPr>
      <w:r>
        <w:rPr>
          <w:rFonts w:ascii="Calibri" w:cs="Calibri" w:eastAsia="Calibri" w:hAnsi="Calibri"/>
          <w:sz w:val="19"/>
          <w:szCs w:val="19"/>
        </w:rPr>
        <w:t xml:space="preserve">Recruitment, permit, visa, medical and Emirates ID costs can never be recovered from an employee, in a settlement or otherwise. Training cost recovery requires a lawful agreement and must stay within statutory deduction limits.</w:t>
      </w:r>
    </w:p>
    <w:p>
      <w:pPr>
        <w:keepNext/>
        <w:spacing w:after="40" w:before="140"/>
      </w:pPr>
      <w:r>
        <w:rPr>
          <w:rFonts w:ascii="Calibri" w:cs="Calibri" w:eastAsia="Calibri" w:hAnsi="Calibri"/>
          <w:b/>
          <w:bCs/>
          <w:color w:val="14161B"/>
          <w:sz w:val="20"/>
          <w:szCs w:val="20"/>
        </w:rPr>
        <w:t xml:space="preserve">Pay before cancelling the visa</w:t>
      </w:r>
    </w:p>
    <w:p>
      <w:pPr>
        <w:spacing w:after="60" w:line="264"/>
        <w:jc w:val="both"/>
      </w:pPr>
      <w:r>
        <w:rPr>
          <w:rFonts w:ascii="Calibri" w:cs="Calibri" w:eastAsia="Calibri" w:hAnsi="Calibri"/>
          <w:sz w:val="19"/>
          <w:szCs w:val="19"/>
        </w:rPr>
        <w:t xml:space="preserve">Settlement then cancellation, in that order. Cancelling while money is outstanding leaves the employee without status and turns an agreed exit into a complaint. Explain the grace period that follows.</w:t>
      </w:r>
    </w:p>
    <w:p>
      <w:pPr>
        <w:keepNext/>
        <w:spacing w:after="40" w:before="140"/>
      </w:pPr>
      <w:r>
        <w:rPr>
          <w:rFonts w:ascii="Calibri" w:cs="Calibri" w:eastAsia="Calibri" w:hAnsi="Calibri"/>
          <w:b/>
          <w:bCs/>
          <w:color w:val="14161B"/>
          <w:sz w:val="20"/>
          <w:szCs w:val="20"/>
        </w:rPr>
        <w:t xml:space="preserve">Attach the calculation, not a total</w:t>
      </w:r>
    </w:p>
    <w:p>
      <w:pPr>
        <w:spacing w:after="60" w:line="264"/>
        <w:jc w:val="both"/>
      </w:pPr>
      <w:r>
        <w:rPr>
          <w:rFonts w:ascii="Calibri" w:cs="Calibri" w:eastAsia="Calibri" w:hAnsi="Calibri"/>
          <w:sz w:val="19"/>
          <w:szCs w:val="19"/>
        </w:rPr>
        <w:t xml:space="preserve">A settlement statement showing gratuity on basic salary, leave days and the daily rate prevents most disputes. A bare figure invites the employee to have it checked and to find the error you did not.</w:t>
      </w:r>
    </w:p>
    <w:p>
      <w:pPr>
        <w:keepNext/>
        <w:spacing w:after="40" w:before="140"/>
      </w:pPr>
      <w:r>
        <w:rPr>
          <w:rFonts w:ascii="Calibri" w:cs="Calibri" w:eastAsia="Calibri" w:hAnsi="Calibri"/>
          <w:b/>
          <w:bCs/>
          <w:color w:val="14161B"/>
          <w:sz w:val="20"/>
          <w:szCs w:val="20"/>
        </w:rPr>
        <w:t xml:space="preserve">Confirm scheme contributions in DIFC and ADGM</w:t>
      </w:r>
    </w:p>
    <w:p>
      <w:pPr>
        <w:spacing w:after="60" w:line="264"/>
        <w:jc w:val="both"/>
      </w:pPr>
      <w:r>
        <w:rPr>
          <w:rFonts w:ascii="Calibri" w:cs="Calibri" w:eastAsia="Calibri" w:hAnsi="Calibri"/>
          <w:sz w:val="19"/>
          <w:szCs w:val="19"/>
        </w:rPr>
        <w:t xml:space="preserve">Where a funded scheme applies, contributions must be up to date and the benefit is dealt with through the administrator, not paid by the Company. Confirm the position as part of the settlement rather than assuming it.</w:t>
      </w:r>
    </w:p>
    <w:p>
      <w:pPr>
        <w:keepNext/>
        <w:spacing w:after="40" w:before="140"/>
      </w:pPr>
      <w:r>
        <w:rPr>
          <w:rFonts w:ascii="Calibri" w:cs="Calibri" w:eastAsia="Calibri" w:hAnsi="Calibri"/>
          <w:b/>
          <w:bCs/>
          <w:color w:val="14161B"/>
          <w:sz w:val="20"/>
          <w:szCs w:val="20"/>
        </w:rPr>
        <w:t xml:space="preserve">Restrictions cannot be widened by agreement</w:t>
      </w:r>
    </w:p>
    <w:p>
      <w:pPr>
        <w:spacing w:after="60" w:line="264"/>
        <w:jc w:val="both"/>
      </w:pPr>
      <w:r>
        <w:rPr>
          <w:rFonts w:ascii="Calibri" w:cs="Calibri" w:eastAsia="Calibri" w:hAnsi="Calibri"/>
          <w:sz w:val="19"/>
          <w:szCs w:val="19"/>
        </w:rPr>
        <w:t xml:space="preserve">A settlement reaffirming post-termination restrictions cannot make an unenforceable restraint enforceable. Restrictions remain subject to the reasonableness limits that applied in the contract.</w:t>
      </w:r>
    </w:p>
    <w:p>
      <w:pPr>
        <w:keepNext/>
        <w:spacing w:after="40" w:before="140"/>
      </w:pPr>
      <w:r>
        <w:rPr>
          <w:rFonts w:ascii="Calibri" w:cs="Calibri" w:eastAsia="Calibri" w:hAnsi="Calibri"/>
          <w:b/>
          <w:bCs/>
          <w:color w:val="14161B"/>
          <w:sz w:val="20"/>
          <w:szCs w:val="20"/>
        </w:rPr>
        <w:t xml:space="preserve">Agree the reference and the announcement</w:t>
      </w:r>
    </w:p>
    <w:p>
      <w:pPr>
        <w:spacing w:after="60" w:line="264"/>
        <w:jc w:val="both"/>
      </w:pPr>
      <w:r>
        <w:rPr>
          <w:rFonts w:ascii="Calibri" w:cs="Calibri" w:eastAsia="Calibri" w:hAnsi="Calibri"/>
          <w:sz w:val="19"/>
          <w:szCs w:val="19"/>
        </w:rPr>
        <w:t xml:space="preserve">Most of what a departing employee actually cares about is what will be said about them. Agreeing the reference wording and the internal announcement costs nothing and removes a frequent sticking point.</w:t>
      </w:r>
    </w:p>
    <w:p>
      <w:pPr>
        <w:keepNext/>
        <w:spacing w:after="40" w:before="140"/>
      </w:pPr>
      <w:r>
        <w:rPr>
          <w:rFonts w:ascii="Calibri" w:cs="Calibri" w:eastAsia="Calibri" w:hAnsi="Calibri"/>
          <w:b/>
          <w:bCs/>
          <w:color w:val="14161B"/>
          <w:sz w:val="20"/>
          <w:szCs w:val="20"/>
        </w:rPr>
        <w:t xml:space="preserve">Retain the agreement and the working</w:t>
      </w:r>
    </w:p>
    <w:p>
      <w:pPr>
        <w:spacing w:after="60" w:line="264"/>
        <w:jc w:val="both"/>
      </w:pPr>
      <w:r>
        <w:rPr>
          <w:rFonts w:ascii="Calibri" w:cs="Calibri" w:eastAsia="Calibri" w:hAnsi="Calibri"/>
          <w:sz w:val="19"/>
          <w:szCs w:val="19"/>
        </w:rPr>
        <w:t xml:space="preserve">Signed agreement, full calculation, evidence of payment and the record of advice offered. If the settlement is later questioned, these are the documents that answer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Entitlements, payment deadlines, deduction limits, the enforceability of releases and restrictions, and DIFC and ADGM procedures all change — take UAE employment advice before settling any contested exit, and have a bilingual version prepared where the forum is onshore.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2026-08-23T16:28:36.609Z</dcterms:created>
  <dcterms:modified xsi:type="dcterms:W3CDTF">2026-08-23T16:28:36.609Z</dcterms:modified>
</cp:coreProperties>
</file>

<file path=docProps/custom.xml><?xml version="1.0" encoding="utf-8"?>
<Properties xmlns="http://schemas.openxmlformats.org/officeDocument/2006/custom-properties" xmlns:vt="http://schemas.openxmlformats.org/officeDocument/2006/docPropsVTypes"/>
</file>