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SETTING UP PREMISES</w:t>
      </w:r>
    </w:p>
    <w:p>
      <w:pPr>
        <w:spacing w:after="260"/>
        <w:jc w:val="center"/>
      </w:pPr>
      <w:r>
        <w:rPr>
          <w:rFonts w:ascii="Calibri" w:cs="Calibri" w:eastAsia="Calibri" w:hAnsi="Calibri"/>
          <w:i/>
          <w:iCs/>
          <w:color w:val="6E7480"/>
          <w:sz w:val="19"/>
          <w:szCs w:val="19"/>
        </w:rPr>
        <w:t xml:space="preserve">From lease to occupation</w:t>
      </w:r>
    </w:p>
    <w:p>
      <w:pPr>
        <w:spacing w:after="180" w:before="0" w:line="276"/>
        <w:jc w:val="both"/>
      </w:pPr>
      <w:r>
        <w:rPr>
          <w:rFonts w:ascii="Calibri" w:cs="Calibri" w:eastAsia="Calibri" w:hAnsi="Calibri"/>
          <w:i/>
          <w:iCs/>
          <w:color w:val="6E7480"/>
          <w:sz w:val="21"/>
          <w:szCs w:val="21"/>
        </w:rPr>
        <w:t xml:space="preserve">Premises decisions look like property decisions and are not. </w:t>
      </w:r>
      <w:r>
        <w:rPr>
          <w:rFonts w:ascii="Calibri" w:cs="Calibri" w:eastAsia="Calibri" w:hAnsi="Calibri"/>
          <w:b/>
          <w:bCs/>
          <w:i/>
          <w:iCs/>
          <w:color w:val="6E7480"/>
          <w:sz w:val="21"/>
          <w:szCs w:val="21"/>
        </w:rPr>
        <w:t xml:space="preserve">Space determines visa quota</w:t>
      </w:r>
      <w:r>
        <w:rPr>
          <w:rFonts w:ascii="Calibri" w:cs="Calibri" w:eastAsia="Calibri" w:hAnsi="Calibri"/>
          <w:i/>
          <w:iCs/>
          <w:color w:val="6E7480"/>
          <w:sz w:val="21"/>
          <w:szCs w:val="21"/>
        </w:rPr>
        <w:t xml:space="preserve">, the tenancy registration gates the trade licence, and civil defence approval gates occupation. Take the space before understanding those three and the business can find itself licensed, tenanted and unable to hire.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Premises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[UNIT, BUILDING, AREA, EMIRATE]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Area</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sq ft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Visa quota supported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Headcount planned over the lease term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Permitted use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[MUST MATCH THE LICENSED ACTIVITY]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Lease term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Registration (Ejari / Tawtheeq)</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Civil defence approval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dated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Occupation 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BEFORE SIGNING THE LEASE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Space supports the visa quota you will need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Quota is linked to area and premises type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Headcount modelled across the whole lease term</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just today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Permitted use matches the licensed activity</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licence depends on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Premises approved by the authority for that use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Planning and municipality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Landlord is the registered owner or authorised to lease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Otherwise registration fails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Lease will be registrable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 registration, no licence renewal</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Service charges and chiller costs quantified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a large extra</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Fit-out permitted, and the approval route understood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Landlord, municipality, civil defence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Reinstatement obligation priced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 arrives at the end and is rarely budgeted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Rent-free fit-out period sufficient for approvals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Approvals are the usual delay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Parking, access and building hours adequate</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occupancy cost modelled, not headline rent</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Check 1 is the one that constrains the business.</w:t>
      </w:r>
      <w:r>
        <w:rPr>
          <w:rFonts w:ascii="Calibri" w:cs="Calibri" w:eastAsia="Calibri" w:hAnsi="Calibri"/>
          <w:sz w:val="21"/>
          <w:szCs w:val="21"/>
        </w:rPr>
        <w:t xml:space="preserve"> A company that takes minimal space to control cost, then wins work and needs to hire, finds the quota unavailable and the lease has years to run.</w:t>
      </w:r>
    </w:p>
    <w:p>
      <w:pPr>
        <w:keepNext/>
        <w:spacing w:after="120" w:before="280"/>
        <w:outlineLvl w:val="0"/>
      </w:pPr>
      <w:r>
        <w:rPr>
          <w:rFonts w:ascii="Calibri" w:cs="Calibri" w:eastAsia="Calibri" w:hAnsi="Calibri"/>
          <w:b/>
          <w:bCs/>
          <w:color w:val="14161B"/>
          <w:sz w:val="22"/>
          <w:szCs w:val="22"/>
        </w:rPr>
        <w:t xml:space="preserve">2. OPTIONS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505"/>
        <w:gridCol w:w="1734"/>
        <w:gridCol w:w="3279"/>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Suits</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Quota</w:t>
            </w:r>
          </w:p>
        </w:tc>
        <w:tc>
          <w:tcPr>
            <w:tcW w:type="dxa" w:w="327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Watch</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Flexi-desk or shared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Very small teams, early stage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Minimal</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Banks and diligence view it as low substance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Serviced office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Small teams wanting speed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[Limited]</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Cost per head is high at scale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Conventional lease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Established operations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Scales with area</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Fit-out, reinstatement, longer commitment</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Warehouse or industrial</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Storage, light industry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 the facility]</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Use approvals, civil defence, safety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 facility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Free zone entities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package</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Tied to the zone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Fully remote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[Rarely viable]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Usually none</w:t>
            </w:r>
          </w:p>
        </w:tc>
        <w:tc>
          <w:tcPr>
            <w:tcW w:type="dxa" w:w="327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and quota generally need premises</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A flexi-desk is a legitimate starting point and a genuine constraint. It caps hiring, and banks and counterparties conducting diligence read it as an absence of substance — which also matters for a QFZP claim and for tax residence.</w:t>
      </w:r>
    </w:p>
    <w:p>
      <w:pPr>
        <w:keepNext/>
        <w:spacing w:after="120" w:before="280"/>
        <w:outlineLvl w:val="0"/>
      </w:pPr>
      <w:r>
        <w:rPr>
          <w:rFonts w:ascii="Calibri" w:cs="Calibri" w:eastAsia="Calibri" w:hAnsi="Calibri"/>
          <w:b/>
          <w:bCs/>
          <w:color w:val="14161B"/>
          <w:sz w:val="22"/>
          <w:szCs w:val="22"/>
        </w:rPr>
        <w:t xml:space="preserve">3. SETTING UP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3469"/>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Step</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Lease signed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Tenancy registered</w:t>
            </w:r>
            <w:r>
              <w:rPr>
                <w:rFonts w:ascii="Calibri" w:cs="Calibri" w:eastAsia="Calibri" w:hAnsi="Calibri"/>
                <w:sz w:val="16"/>
                <w:szCs w:val="16"/>
              </w:rPr>
              <w:t xml:space="preserve"> (Ejari / Tawtheeq / zone)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Gates the licence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Trade licence issued or address amended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Establishment card obtained or updated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Visa quota confirmed against the space</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Fit-out drawings approved by the landlord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Municipality permit obtained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Civil defence approval obtained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Cannot occupy without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Fit-out completed and snagged</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Utilities connected in the Company name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Deposits payable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Telecoms and internet installed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Lead times are long — order early</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Insurance in place — contents, public liability</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Signage approved and installed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Approval usually required</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Safety — extinguishers, first aid, evacuation plan, signage</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Access control and keys issued against a register</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 and authorities notified of the address</w:t>
            </w:r>
          </w:p>
        </w:tc>
        <w:tc>
          <w:tcPr>
            <w:tcW w:type="dxa" w:w="3469"/>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Photograph the premises at handover</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Evidence for reinstatement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Step 11 delays more move-ins than anything else. Telecoms installation lead times are long and cannot be compressed by paying more. Order at lease signature, not at fit-out completion.</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Step 17 costs nothing and saves an argument years later.</w:t>
      </w:r>
      <w:r>
        <w:rPr>
          <w:rFonts w:ascii="Calibri" w:cs="Calibri" w:eastAsia="Calibri" w:hAnsi="Calibri"/>
          <w:sz w:val="21"/>
          <w:szCs w:val="21"/>
        </w:rPr>
        <w:t xml:space="preserve"> Photograph and video the space at handover, agree the record with the landlord in writing, and file it with the lease.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SAFETY AND COMPLIANCE IN OCCUPATION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Civil defence approval and periodic inspection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Fire systems, extinguishers, alarms, evacuation routes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Evacuation plan displayed and practised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Drill at least </w:t>
            </w:r>
            <w:r>
              <w:rPr>
                <w:rFonts w:ascii="Calibri" w:cs="Calibri" w:eastAsia="Calibri" w:hAnsi="Calibri"/>
                <w:b/>
                <w:bCs/>
                <w:sz w:val="18"/>
                <w:szCs w:val="18"/>
              </w:rPr>
              <w:t xml:space="preserve">[annually]</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First aid provision and trained first aiders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Proportionate to headcount</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Fire equipment maintained and certificated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retained</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Municipality requirements for the activity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Vary sharply by activity type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Waste disposal arrangements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Especially for industrial or food use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Midday work ban where any work is outdoors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Applies at the site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Accessibility requirements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for the building and use]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Signage approval</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Usually required before installation</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current and matched to the premises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Review annually</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Civil defence and municipality requirements are separate regimes with separate inspections. A certificate from one proves nothing about the other, and businesses regularly assume otherwise.</w:t>
      </w:r>
    </w:p>
    <w:p>
      <w:pPr>
        <w:keepNext/>
        <w:spacing w:after="120" w:before="280"/>
        <w:outlineLvl w:val="0"/>
      </w:pPr>
      <w:r>
        <w:rPr>
          <w:rFonts w:ascii="Calibri" w:cs="Calibri" w:eastAsia="Calibri" w:hAnsi="Calibri"/>
          <w:b/>
          <w:bCs/>
          <w:color w:val="14161B"/>
          <w:sz w:val="22"/>
          <w:szCs w:val="22"/>
        </w:rPr>
        <w:t xml:space="preserve">5. MOVING OR LEAVING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819"/>
        <w:gridCol w:w="443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44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Notice given per the lease and any statutory requirement</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Diarise the notice date, not the expiry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Reinstatement requirements obtained in writing</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Two months before expiry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Reinstatement completed</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Priced at the start, not now</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Joint inspection against the handover record</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photographs from step 17</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Utilities settled, disconnected or transferred</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Recover deposits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Telecoms cancelled or transferred</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Notice periods apply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Any remaining post-dated cheques recovered</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 written confirmation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Security deposit returned less agreed deductions</w:t>
            </w:r>
          </w:p>
        </w:tc>
        <w:tc>
          <w:tcPr>
            <w:tcW w:type="dxa" w:w="4434"/>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New premises leased and registered before the licence renewal</w:t>
            </w:r>
          </w:p>
        </w:tc>
        <w:tc>
          <w:tcPr>
            <w:tcW w:type="dxa" w:w="44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Sequence carefully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Licence address amended</w:t>
            </w:r>
          </w:p>
        </w:tc>
        <w:tc>
          <w:tcPr>
            <w:tcW w:type="dxa" w:w="4434"/>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Establishment card and quota updated</w:t>
            </w:r>
          </w:p>
        </w:tc>
        <w:tc>
          <w:tcPr>
            <w:tcW w:type="dxa" w:w="4434"/>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authorities, insurers and counterparties notified</w:t>
            </w:r>
          </w:p>
        </w:tc>
        <w:tc>
          <w:tcPr>
            <w:tcW w:type="dxa" w:w="4434"/>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Overlap the leases if you can.</w:t>
      </w:r>
      <w:r>
        <w:rPr>
          <w:rFonts w:ascii="Calibri" w:cs="Calibri" w:eastAsia="Calibri" w:hAnsi="Calibri"/>
          <w:sz w:val="21"/>
          <w:szCs w:val="21"/>
        </w:rPr>
        <w:t xml:space="preserve"> A gap between premises means a period with no registrable tenancy, which blocks the licence renewal, which blocks visa transactions. The saving on a month’s rent is rarely worth it.</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Space determines how many people you can hire</w:t>
      </w:r>
    </w:p>
    <w:p>
      <w:pPr>
        <w:spacing w:after="60" w:line="264"/>
        <w:jc w:val="both"/>
      </w:pPr>
      <w:r>
        <w:rPr>
          <w:rFonts w:ascii="Calibri" w:cs="Calibri" w:eastAsia="Calibri" w:hAnsi="Calibri"/>
          <w:sz w:val="19"/>
          <w:szCs w:val="19"/>
        </w:rPr>
        <w:t xml:space="preserve">Mainland visa quota is linked to the area and type of premises. A company that minimises space to control cost, then needs to hire, finds the quota unavailable with years left on the lease. Model headcount across the full lease term before signing.</w:t>
      </w:r>
    </w:p>
    <w:p>
      <w:pPr>
        <w:keepNext/>
        <w:spacing w:after="40" w:before="140"/>
      </w:pPr>
      <w:r>
        <w:rPr>
          <w:rFonts w:ascii="Calibri" w:cs="Calibri" w:eastAsia="Calibri" w:hAnsi="Calibri"/>
          <w:b/>
          <w:bCs/>
          <w:color w:val="14161B"/>
          <w:sz w:val="20"/>
          <w:szCs w:val="20"/>
        </w:rPr>
        <w:t xml:space="preserve">Registration gates the licence</w:t>
      </w:r>
    </w:p>
    <w:p>
      <w:pPr>
        <w:spacing w:after="60" w:line="264"/>
        <w:jc w:val="both"/>
      </w:pPr>
      <w:r>
        <w:rPr>
          <w:rFonts w:ascii="Calibri" w:cs="Calibri" w:eastAsia="Calibri" w:hAnsi="Calibri"/>
          <w:sz w:val="19"/>
          <w:szCs w:val="19"/>
        </w:rPr>
        <w:t xml:space="preserve">Ejari, Tawtheeq or the zone equivalent is required for trade licence issuance and renewal. An unregistered or unregistrable lease blocks the licence, which blocks the establishment card, which blocks every visa transaction.</w:t>
      </w:r>
    </w:p>
    <w:p>
      <w:pPr>
        <w:keepNext/>
        <w:spacing w:after="40" w:before="140"/>
      </w:pPr>
      <w:r>
        <w:rPr>
          <w:rFonts w:ascii="Calibri" w:cs="Calibri" w:eastAsia="Calibri" w:hAnsi="Calibri"/>
          <w:b/>
          <w:bCs/>
          <w:color w:val="14161B"/>
          <w:sz w:val="20"/>
          <w:szCs w:val="20"/>
        </w:rPr>
        <w:t xml:space="preserve">Match permitted use to the licensed activity</w:t>
      </w:r>
    </w:p>
    <w:p>
      <w:pPr>
        <w:spacing w:after="60" w:line="264"/>
        <w:jc w:val="both"/>
      </w:pPr>
      <w:r>
        <w:rPr>
          <w:rFonts w:ascii="Calibri" w:cs="Calibri" w:eastAsia="Calibri" w:hAnsi="Calibri"/>
          <w:sz w:val="19"/>
          <w:szCs w:val="19"/>
        </w:rPr>
        <w:t xml:space="preserve">The use permitted under the lease, the approved use of the premises and the activity on the trade licence must all correspond. A mismatch surfaces at renewal or inspection and is expensive to fix from a signed lease.</w:t>
      </w:r>
    </w:p>
    <w:p>
      <w:pPr>
        <w:keepNext/>
        <w:spacing w:after="40" w:before="140"/>
      </w:pPr>
      <w:r>
        <w:rPr>
          <w:rFonts w:ascii="Calibri" w:cs="Calibri" w:eastAsia="Calibri" w:hAnsi="Calibri"/>
          <w:b/>
          <w:bCs/>
          <w:color w:val="14161B"/>
          <w:sz w:val="20"/>
          <w:szCs w:val="20"/>
        </w:rPr>
        <w:t xml:space="preserve">Verify the landlord’s title</w:t>
      </w:r>
    </w:p>
    <w:p>
      <w:pPr>
        <w:spacing w:after="60" w:line="264"/>
        <w:jc w:val="both"/>
      </w:pPr>
      <w:r>
        <w:rPr>
          <w:rFonts w:ascii="Calibri" w:cs="Calibri" w:eastAsia="Calibri" w:hAnsi="Calibri"/>
          <w:sz w:val="19"/>
          <w:szCs w:val="19"/>
        </w:rPr>
        <w:t xml:space="preserve">Confirm they own the property or are authorised to lease it. Taking a lease from a head tenant whose own lease prohibits subletting leaves you without the registration the licence depends on.</w:t>
      </w:r>
    </w:p>
    <w:p>
      <w:pPr>
        <w:keepNext/>
        <w:spacing w:after="40" w:before="140"/>
      </w:pPr>
      <w:r>
        <w:rPr>
          <w:rFonts w:ascii="Calibri" w:cs="Calibri" w:eastAsia="Calibri" w:hAnsi="Calibri"/>
          <w:b/>
          <w:bCs/>
          <w:color w:val="14161B"/>
          <w:sz w:val="20"/>
          <w:szCs w:val="20"/>
        </w:rPr>
        <w:t xml:space="preserve">Civil defence and municipality are separate</w:t>
      </w:r>
    </w:p>
    <w:p>
      <w:pPr>
        <w:spacing w:after="60" w:line="264"/>
        <w:jc w:val="both"/>
      </w:pPr>
      <w:r>
        <w:rPr>
          <w:rFonts w:ascii="Calibri" w:cs="Calibri" w:eastAsia="Calibri" w:hAnsi="Calibri"/>
          <w:sz w:val="19"/>
          <w:szCs w:val="19"/>
        </w:rPr>
        <w:t xml:space="preserve">Two regimes, two inspections, two sets of requirements. A certificate from one proves nothing about the other, and occupation generally cannot proceed without civil defence approval.</w:t>
      </w:r>
    </w:p>
    <w:p>
      <w:pPr>
        <w:keepNext/>
        <w:spacing w:after="40" w:before="140"/>
      </w:pPr>
      <w:r>
        <w:rPr>
          <w:rFonts w:ascii="Calibri" w:cs="Calibri" w:eastAsia="Calibri" w:hAnsi="Calibri"/>
          <w:b/>
          <w:bCs/>
          <w:color w:val="14161B"/>
          <w:sz w:val="20"/>
          <w:szCs w:val="20"/>
        </w:rPr>
        <w:t xml:space="preserve">Order telecoms at lease signature</w:t>
      </w:r>
    </w:p>
    <w:p>
      <w:pPr>
        <w:spacing w:after="60" w:line="264"/>
        <w:jc w:val="both"/>
      </w:pPr>
      <w:r>
        <w:rPr>
          <w:rFonts w:ascii="Calibri" w:cs="Calibri" w:eastAsia="Calibri" w:hAnsi="Calibri"/>
          <w:sz w:val="19"/>
          <w:szCs w:val="19"/>
        </w:rPr>
        <w:t xml:space="preserve">Installation lead times are long and cannot be compressed by paying more. This delays more move-ins than fit-out does, and it is entirely predictable.</w:t>
      </w:r>
    </w:p>
    <w:p>
      <w:pPr>
        <w:keepNext/>
        <w:spacing w:after="40" w:before="140"/>
      </w:pPr>
      <w:r>
        <w:rPr>
          <w:rFonts w:ascii="Calibri" w:cs="Calibri" w:eastAsia="Calibri" w:hAnsi="Calibri"/>
          <w:b/>
          <w:bCs/>
          <w:color w:val="14161B"/>
          <w:sz w:val="20"/>
          <w:szCs w:val="20"/>
        </w:rPr>
        <w:t xml:space="preserve">Photograph the premises at handover</w:t>
      </w:r>
    </w:p>
    <w:p>
      <w:pPr>
        <w:spacing w:after="60" w:line="264"/>
        <w:jc w:val="both"/>
      </w:pPr>
      <w:r>
        <w:rPr>
          <w:rFonts w:ascii="Calibri" w:cs="Calibri" w:eastAsia="Calibri" w:hAnsi="Calibri"/>
          <w:sz w:val="19"/>
          <w:szCs w:val="19"/>
        </w:rPr>
        <w:t xml:space="preserve">Photographs and video, agreed with the landlord in writing and filed with the lease. It costs nothing at the start and settles the reinstatement argument at the end, which is otherwise a dispute about memory.</w:t>
      </w:r>
    </w:p>
    <w:p>
      <w:pPr>
        <w:keepNext/>
        <w:spacing w:after="40" w:before="140"/>
      </w:pPr>
      <w:r>
        <w:rPr>
          <w:rFonts w:ascii="Calibri" w:cs="Calibri" w:eastAsia="Calibri" w:hAnsi="Calibri"/>
          <w:b/>
          <w:bCs/>
          <w:color w:val="14161B"/>
          <w:sz w:val="20"/>
          <w:szCs w:val="20"/>
        </w:rPr>
        <w:t xml:space="preserve">Price reinstatement before you fit out</w:t>
      </w:r>
    </w:p>
    <w:p>
      <w:pPr>
        <w:spacing w:after="60" w:line="264"/>
        <w:jc w:val="both"/>
      </w:pPr>
      <w:r>
        <w:rPr>
          <w:rFonts w:ascii="Calibri" w:cs="Calibri" w:eastAsia="Calibri" w:hAnsi="Calibri"/>
          <w:sz w:val="19"/>
          <w:szCs w:val="19"/>
        </w:rPr>
        <w:t xml:space="preserve">Most commercial leases require the fit-out to be stripped out and the space restored. Building something expensive to remove without budgeting the removal creates a cost that arrives three years later.</w:t>
      </w:r>
    </w:p>
    <w:p>
      <w:pPr>
        <w:keepNext/>
        <w:spacing w:after="40" w:before="140"/>
      </w:pPr>
      <w:r>
        <w:rPr>
          <w:rFonts w:ascii="Calibri" w:cs="Calibri" w:eastAsia="Calibri" w:hAnsi="Calibri"/>
          <w:b/>
          <w:bCs/>
          <w:color w:val="14161B"/>
          <w:sz w:val="20"/>
          <w:szCs w:val="20"/>
        </w:rPr>
        <w:t xml:space="preserve">Ask for reinstatement requirements early</w:t>
      </w:r>
    </w:p>
    <w:p>
      <w:pPr>
        <w:spacing w:after="60" w:line="264"/>
        <w:jc w:val="both"/>
      </w:pPr>
      <w:r>
        <w:rPr>
          <w:rFonts w:ascii="Calibri" w:cs="Calibri" w:eastAsia="Calibri" w:hAnsi="Calibri"/>
          <w:sz w:val="19"/>
          <w:szCs w:val="19"/>
        </w:rPr>
        <w:t xml:space="preserve">Two months before expiry, in writing. Verbal assurances that the fit-out can remain evaporate at handover, and by then there is no time to negotiate or to do the work.</w:t>
      </w:r>
    </w:p>
    <w:p>
      <w:pPr>
        <w:keepNext/>
        <w:spacing w:after="40" w:before="140"/>
      </w:pPr>
      <w:r>
        <w:rPr>
          <w:rFonts w:ascii="Calibri" w:cs="Calibri" w:eastAsia="Calibri" w:hAnsi="Calibri"/>
          <w:b/>
          <w:bCs/>
          <w:color w:val="14161B"/>
          <w:sz w:val="20"/>
          <w:szCs w:val="20"/>
        </w:rPr>
        <w:t xml:space="preserve">Model total occupancy cost</w:t>
      </w:r>
    </w:p>
    <w:p>
      <w:pPr>
        <w:spacing w:after="60" w:line="264"/>
        <w:jc w:val="both"/>
      </w:pPr>
      <w:r>
        <w:rPr>
          <w:rFonts w:ascii="Calibri" w:cs="Calibri" w:eastAsia="Calibri" w:hAnsi="Calibri"/>
          <w:sz w:val="19"/>
          <w:szCs w:val="19"/>
        </w:rPr>
        <w:t xml:space="preserve">Service charges, chilled water or air conditioning, utilities, insurance and parking can add materially to headline rent. Businesses budget the rent and are surprised by the rest.</w:t>
      </w:r>
    </w:p>
    <w:p>
      <w:pPr>
        <w:keepNext/>
        <w:spacing w:after="40" w:before="140"/>
      </w:pPr>
      <w:r>
        <w:rPr>
          <w:rFonts w:ascii="Calibri" w:cs="Calibri" w:eastAsia="Calibri" w:hAnsi="Calibri"/>
          <w:b/>
          <w:bCs/>
          <w:color w:val="14161B"/>
          <w:sz w:val="20"/>
          <w:szCs w:val="20"/>
        </w:rPr>
        <w:t xml:space="preserve">A flexi-desk is a real constraint</w:t>
      </w:r>
    </w:p>
    <w:p>
      <w:pPr>
        <w:spacing w:after="60" w:line="264"/>
        <w:jc w:val="both"/>
      </w:pPr>
      <w:r>
        <w:rPr>
          <w:rFonts w:ascii="Calibri" w:cs="Calibri" w:eastAsia="Calibri" w:hAnsi="Calibri"/>
          <w:sz w:val="19"/>
          <w:szCs w:val="19"/>
        </w:rPr>
        <w:t xml:space="preserve">It is a legitimate starting point, but it caps hiring, and banks and counterparties conducting diligence read it as low substance — which also affects a QFZP claim, tax residence and account opening.</w:t>
      </w:r>
    </w:p>
    <w:p>
      <w:pPr>
        <w:keepNext/>
        <w:spacing w:after="40" w:before="140"/>
      </w:pPr>
      <w:r>
        <w:rPr>
          <w:rFonts w:ascii="Calibri" w:cs="Calibri" w:eastAsia="Calibri" w:hAnsi="Calibri"/>
          <w:b/>
          <w:bCs/>
          <w:color w:val="14161B"/>
          <w:sz w:val="20"/>
          <w:szCs w:val="20"/>
        </w:rPr>
        <w:t xml:space="preserve">Overlap leases when moving</w:t>
      </w:r>
    </w:p>
    <w:p>
      <w:pPr>
        <w:spacing w:after="60" w:line="264"/>
        <w:jc w:val="both"/>
      </w:pPr>
      <w:r>
        <w:rPr>
          <w:rFonts w:ascii="Calibri" w:cs="Calibri" w:eastAsia="Calibri" w:hAnsi="Calibri"/>
          <w:sz w:val="19"/>
          <w:szCs w:val="19"/>
        </w:rPr>
        <w:t xml:space="preserve">A gap between premises means no registrable tenancy, which cascades into the licence and then into visas. The saving on a month’s rent rarely justifies the risk.</w:t>
      </w:r>
    </w:p>
    <w:p>
      <w:pPr>
        <w:keepNext/>
        <w:spacing w:after="40" w:before="140"/>
      </w:pPr>
      <w:r>
        <w:rPr>
          <w:rFonts w:ascii="Calibri" w:cs="Calibri" w:eastAsia="Calibri" w:hAnsi="Calibri"/>
          <w:b/>
          <w:bCs/>
          <w:color w:val="14161B"/>
          <w:sz w:val="20"/>
          <w:szCs w:val="20"/>
        </w:rPr>
        <w:t xml:space="preserve">Recover post-dated cheques on exit</w:t>
      </w:r>
    </w:p>
    <w:p>
      <w:pPr>
        <w:spacing w:after="60" w:line="264"/>
        <w:jc w:val="both"/>
      </w:pPr>
      <w:r>
        <w:rPr>
          <w:rFonts w:ascii="Calibri" w:cs="Calibri" w:eastAsia="Calibri" w:hAnsi="Calibri"/>
          <w:sz w:val="19"/>
          <w:szCs w:val="19"/>
        </w:rPr>
        <w:t xml:space="preserve">Cheques given to a landlord for rent remain a live liability until returned. Retrieve every one at the end of the lease and obtain written confirmation that none remain outstanding.</w:t>
      </w:r>
    </w:p>
    <w:p>
      <w:pPr>
        <w:keepNext/>
        <w:spacing w:after="40" w:before="140"/>
      </w:pPr>
      <w:r>
        <w:rPr>
          <w:rFonts w:ascii="Calibri" w:cs="Calibri" w:eastAsia="Calibri" w:hAnsi="Calibri"/>
          <w:b/>
          <w:bCs/>
          <w:color w:val="14161B"/>
          <w:sz w:val="20"/>
          <w:szCs w:val="20"/>
        </w:rPr>
        <w:t xml:space="preserve">Diarise the notice date, not the expiry</w:t>
      </w:r>
    </w:p>
    <w:p>
      <w:pPr>
        <w:spacing w:after="60" w:line="264"/>
        <w:jc w:val="both"/>
      </w:pPr>
      <w:r>
        <w:rPr>
          <w:rFonts w:ascii="Calibri" w:cs="Calibri" w:eastAsia="Calibri" w:hAnsi="Calibri"/>
          <w:sz w:val="19"/>
          <w:szCs w:val="19"/>
        </w:rPr>
        <w:t xml:space="preserve">Leases with long notice periods renew automatically while nobody is watching. By the expiry date the decision has already been made for you.</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Registration systems, visa quota rules, municipality and civil defence requirements, signage approvals and rent frameworks differ by emirate and free zone and change — confirm with the relevant authority before committing to premises.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2026-08-23T16:28:33.172Z</dcterms:created>
  <dcterms:modified xsi:type="dcterms:W3CDTF">2026-08-23T16:28:33.172Z</dcterms:modified>
</cp:coreProperties>
</file>

<file path=docProps/custom.xml><?xml version="1.0" encoding="utf-8"?>
<Properties xmlns="http://schemas.openxmlformats.org/officeDocument/2006/custom-properties" xmlns:vt="http://schemas.openxmlformats.org/officeDocument/2006/docPropsVTypes"/>
</file>