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SERVICES AGREEMENT</w:t>
      </w:r>
    </w:p>
    <w:p>
      <w:pPr>
        <w:spacing w:after="260"/>
        <w:jc w:val="center"/>
      </w:pPr>
      <w:r>
        <w:rPr>
          <w:rFonts w:ascii="Calibri" w:cs="Calibri" w:eastAsia="Calibri" w:hAnsi="Calibri"/>
          <w:i/>
          <w:iCs/>
          <w:color w:val="6E7480"/>
          <w:sz w:val="19"/>
          <w:szCs w:val="19"/>
        </w:rPr>
        <w:t xml:space="preserve">Master terms, statement of work and consultants</w:t>
      </w:r>
    </w:p>
    <w:p>
      <w:pPr>
        <w:spacing w:after="180" w:before="0" w:line="276"/>
        <w:jc w:val="both"/>
      </w:pPr>
      <w:r>
        <w:rPr>
          <w:rFonts w:ascii="Calibri" w:cs="Calibri" w:eastAsia="Calibri" w:hAnsi="Calibri"/>
          <w:i/>
          <w:iCs/>
          <w:color w:val="6E7480"/>
          <w:sz w:val="21"/>
          <w:szCs w:val="21"/>
        </w:rPr>
        <w:t xml:space="preserve">One UAE-specific question runs through this document: </w:t>
      </w:r>
      <w:r>
        <w:rPr>
          <w:rFonts w:ascii="Calibri" w:cs="Calibri" w:eastAsia="Calibri" w:hAnsi="Calibri"/>
          <w:b/>
          <w:bCs/>
          <w:i/>
          <w:iCs/>
          <w:color w:val="6E7480"/>
          <w:sz w:val="21"/>
          <w:szCs w:val="21"/>
        </w:rPr>
        <w:t xml:space="preserve">is the person or company you are engaging genuinely independent, and are they licensed to do the work?</w:t>
      </w:r>
      <w:r>
        <w:rPr>
          <w:rFonts w:ascii="Calibri" w:cs="Calibri" w:eastAsia="Calibri" w:hAnsi="Calibri"/>
          <w:i/>
          <w:iCs/>
          <w:color w:val="6E7480"/>
          <w:sz w:val="21"/>
          <w:szCs w:val="21"/>
        </w:rPr>
        <w:t xml:space="preserve"> Engaging an individual without the right permit, or a company for activities outside its trade licence, creates exposure for the client as well as the supplier.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cantSplit/>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Supplier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[jurisdiction]</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Client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[jurisdiction]</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Supplier type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[Licensed company / Freelance permit holder / Individual]</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Licensed for these services?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confirm against the trade licence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Services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THE CATEGORY — detail in each SOW]</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[2]</w:t>
            </w:r>
            <w:r>
              <w:rPr>
                <w:rFonts w:ascii="Calibri" w:cs="Calibri" w:eastAsia="Calibri" w:hAnsi="Calibri"/>
                <w:sz w:val="19"/>
                <w:szCs w:val="19"/>
              </w:rPr>
              <w:t xml:space="preserve"> years from </w:t>
            </w:r>
            <w:r>
              <w:rPr>
                <w:rFonts w:ascii="Calibri" w:cs="Calibri" w:eastAsia="Calibri" w:hAnsi="Calibri"/>
                <w:b/>
                <w:bCs/>
                <w:sz w:val="19"/>
                <w:szCs w:val="19"/>
              </w:rPr>
              <w:t xml:space="preserve">[DATE]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Payment terms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[30]</w:t>
            </w:r>
            <w:r>
              <w:rPr>
                <w:rFonts w:ascii="Calibri" w:cs="Calibri" w:eastAsia="Calibri" w:hAnsi="Calibri"/>
                <w:sz w:val="19"/>
                <w:szCs w:val="19"/>
              </w:rPr>
              <w:t xml:space="preserve"> days from a valid tax invoice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 in addition where the Supplier is registered</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IP in deliverables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[Assigned to the Client / Licensed]</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Liability cap</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[Fees paid in the preceding 12 months / AED ______]</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 and forum</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[Emirate of ______ / DIFC / ADGM / Arbitration]</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Language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[English / Bilingual — Arabic prevails onshore]</w:t>
            </w:r>
          </w:p>
        </w:tc>
      </w:tr>
    </w:tbl>
    <w:p>
      <w:pPr>
        <w:spacing w:after="180"/>
      </w:pPr>
    </w:p>
    <w:p>
      <w:pPr>
        <w:keepNext/>
        <w:spacing w:after="120" w:before="280"/>
        <w:outlineLvl w:val="0"/>
      </w:pPr>
      <w:r>
        <w:rPr>
          <w:rFonts w:ascii="Calibri" w:cs="Calibri" w:eastAsia="Calibri" w:hAnsi="Calibri"/>
          <w:b/>
          <w:bCs/>
          <w:color w:val="14161B"/>
          <w:sz w:val="22"/>
          <w:szCs w:val="22"/>
        </w:rPr>
        <w:t xml:space="preserve">1. STRUCTURE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This agreement sets the terms on which the Supplier provides services. It does not itself commit either party to any particular engagement.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Each engagement is documented in a </w:t>
      </w:r>
      <w:r>
        <w:rPr>
          <w:rFonts w:ascii="Calibri" w:cs="Calibri" w:eastAsia="Calibri" w:hAnsi="Calibri"/>
          <w:b/>
          <w:bCs/>
          <w:sz w:val="21"/>
          <w:szCs w:val="21"/>
        </w:rPr>
        <w:t xml:space="preserve">Statement of Work</w:t>
      </w:r>
      <w:r>
        <w:rPr>
          <w:rFonts w:ascii="Calibri" w:cs="Calibri" w:eastAsia="Calibri" w:hAnsi="Calibri"/>
          <w:sz w:val="21"/>
          <w:szCs w:val="21"/>
        </w:rPr>
        <w:t xml:space="preserve"> signed by both parties, incorporating these terms.</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Where a Statement of Work conflicts with this agreement, </w:t>
      </w:r>
      <w:r>
        <w:rPr>
          <w:rFonts w:ascii="Calibri" w:cs="Calibri" w:eastAsia="Calibri" w:hAnsi="Calibri"/>
          <w:b/>
          <w:bCs/>
          <w:sz w:val="21"/>
          <w:szCs w:val="21"/>
        </w:rPr>
        <w:t xml:space="preserve">this agreement prevails</w:t>
      </w:r>
      <w:r>
        <w:rPr>
          <w:rFonts w:ascii="Calibri" w:cs="Calibri" w:eastAsia="Calibri" w:hAnsi="Calibri"/>
          <w:sz w:val="21"/>
          <w:szCs w:val="21"/>
        </w:rPr>
        <w:t xml:space="preserve">, unless the Statement of Work identifies the clause it varies, states that it is varying it, and is signed by an authorised signatory of each party.</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Purchase order terms, supplier standard terms and terms appearing on any portal or invoice </w:t>
      </w:r>
      <w:r>
        <w:rPr>
          <w:rFonts w:ascii="Calibri" w:cs="Calibri" w:eastAsia="Calibri" w:hAnsi="Calibri"/>
          <w:b/>
          <w:bCs/>
          <w:sz w:val="21"/>
          <w:szCs w:val="21"/>
        </w:rPr>
        <w:t xml:space="preserve">do not apply</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2. LICENSING AND STATUS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Supplier warrants that it holds a </w:t>
      </w:r>
      <w:r>
        <w:rPr>
          <w:rFonts w:ascii="Calibri" w:cs="Calibri" w:eastAsia="Calibri" w:hAnsi="Calibri"/>
          <w:b/>
          <w:bCs/>
          <w:sz w:val="21"/>
          <w:szCs w:val="21"/>
        </w:rPr>
        <w:t xml:space="preserve">valid trade licence or permit</w:t>
      </w:r>
      <w:r>
        <w:rPr>
          <w:rFonts w:ascii="Calibri" w:cs="Calibri" w:eastAsia="Calibri" w:hAnsi="Calibri"/>
          <w:sz w:val="21"/>
          <w:szCs w:val="21"/>
        </w:rPr>
        <w:t xml:space="preserve"> covering the services, and shall provide a copy on request and on renewal.</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Where the Supplier is an individual, they warrant that they hold the </w:t>
      </w:r>
      <w:r>
        <w:rPr>
          <w:rFonts w:ascii="Calibri" w:cs="Calibri" w:eastAsia="Calibri" w:hAnsi="Calibri"/>
          <w:b/>
          <w:bCs/>
          <w:sz w:val="21"/>
          <w:szCs w:val="21"/>
        </w:rPr>
        <w:t xml:space="preserve">appropriate permit</w:t>
      </w:r>
      <w:r>
        <w:rPr>
          <w:rFonts w:ascii="Calibri" w:cs="Calibri" w:eastAsia="Calibri" w:hAnsi="Calibri"/>
          <w:sz w:val="21"/>
          <w:szCs w:val="21"/>
        </w:rPr>
        <w:t xml:space="preserve"> to provide the services in the UAE — a freelance permit, a Green Visa, or the written consent of their sponsoring employer.</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Supplier is an </w:t>
      </w:r>
      <w:r>
        <w:rPr>
          <w:rFonts w:ascii="Calibri" w:cs="Calibri" w:eastAsia="Calibri" w:hAnsi="Calibri"/>
          <w:b/>
          <w:bCs/>
          <w:sz w:val="21"/>
          <w:szCs w:val="21"/>
        </w:rPr>
        <w:t xml:space="preserve">independent contractor</w:t>
      </w:r>
      <w:r>
        <w:rPr>
          <w:rFonts w:ascii="Calibri" w:cs="Calibri" w:eastAsia="Calibri" w:hAnsi="Calibri"/>
          <w:sz w:val="21"/>
          <w:szCs w:val="21"/>
        </w:rPr>
        <w:t xml:space="preserve">. Nothing creates employment, partnership or agency.</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Supplier shall determine how the services are performed, subject to the objectives and deadlines in the Statement of Work.</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Supplier shall not be integrated into the Client’s organisation in a manner inconsistent with independent status — no fixed hours set by the Client, no Client email identity, no appraisal, no line reporting.</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i/>
          <w:iCs/>
          <w:sz w:val="21"/>
          <w:szCs w:val="21"/>
        </w:rPr>
        <w:t xml:space="preserve">Clause 2.5 matters. A consultant working full time at the Client’s premises under the Client’s direction for two years, on the Client’s systems, looks like an employee whatever the contract says — and the Client, not the consultant, carries the work permit exposure.</w:t>
      </w:r>
    </w:p>
    <w:p>
      <w:pPr>
        <w:keepNext/>
        <w:spacing w:after="120" w:before="280"/>
        <w:outlineLvl w:val="0"/>
      </w:pPr>
      <w:r>
        <w:rPr>
          <w:rFonts w:ascii="Calibri" w:cs="Calibri" w:eastAsia="Calibri" w:hAnsi="Calibri"/>
          <w:b/>
          <w:bCs/>
          <w:color w:val="14161B"/>
          <w:sz w:val="22"/>
          <w:szCs w:val="22"/>
        </w:rPr>
        <w:t xml:space="preserve">3. FEES AND PAYMENT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Fees are as stated in each Statement of Work, on a </w:t>
      </w:r>
      <w:r>
        <w:rPr>
          <w:rFonts w:ascii="Calibri" w:cs="Calibri" w:eastAsia="Calibri" w:hAnsi="Calibri"/>
          <w:b/>
          <w:bCs/>
          <w:sz w:val="21"/>
          <w:szCs w:val="21"/>
        </w:rPr>
        <w:t xml:space="preserve">[time and materials / fixed price / retainer]</w:t>
      </w:r>
      <w:r>
        <w:rPr>
          <w:rFonts w:ascii="Calibri" w:cs="Calibri" w:eastAsia="Calibri" w:hAnsi="Calibri"/>
          <w:sz w:val="21"/>
          <w:szCs w:val="21"/>
        </w:rPr>
        <w:t xml:space="preserve"> basis.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Supplier shall issue a </w:t>
      </w:r>
      <w:r>
        <w:rPr>
          <w:rFonts w:ascii="Calibri" w:cs="Calibri" w:eastAsia="Calibri" w:hAnsi="Calibri"/>
          <w:b/>
          <w:bCs/>
          <w:sz w:val="21"/>
          <w:szCs w:val="21"/>
        </w:rPr>
        <w:t xml:space="preserve">valid tax invoice</w:t>
      </w:r>
      <w:r>
        <w:rPr>
          <w:rFonts w:ascii="Calibri" w:cs="Calibri" w:eastAsia="Calibri" w:hAnsi="Calibri"/>
          <w:sz w:val="21"/>
          <w:szCs w:val="21"/>
        </w:rPr>
        <w:t xml:space="preserve"> and the Client shall pay within </w:t>
      </w:r>
      <w:r>
        <w:rPr>
          <w:rFonts w:ascii="Calibri" w:cs="Calibri" w:eastAsia="Calibri" w:hAnsi="Calibri"/>
          <w:b/>
          <w:bCs/>
          <w:sz w:val="21"/>
          <w:szCs w:val="21"/>
        </w:rPr>
        <w:t xml:space="preserve">[30]</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VAT</w:t>
      </w:r>
      <w:r>
        <w:rPr>
          <w:rFonts w:ascii="Calibri" w:cs="Calibri" w:eastAsia="Calibri" w:hAnsi="Calibri"/>
          <w:sz w:val="21"/>
          <w:szCs w:val="21"/>
        </w:rPr>
        <w:t xml:space="preserve"> at 5% is charged in addition where the Supplier is registered. The invoice must meet the requirements for a valid tax invoice, or the Client may be unable to recover input tax.</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Pre-approved expenses are reimbursed at cost on production of receipts.</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Late payment carries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and the Supplier may suspend on </w:t>
      </w:r>
      <w:r>
        <w:rPr>
          <w:rFonts w:ascii="Calibri" w:cs="Calibri" w:eastAsia="Calibri" w:hAnsi="Calibri"/>
          <w:b/>
          <w:bCs/>
          <w:sz w:val="21"/>
          <w:szCs w:val="21"/>
        </w:rPr>
        <w:t xml:space="preserve">[14]</w:t>
      </w:r>
      <w:r>
        <w:rPr>
          <w:rFonts w:ascii="Calibri" w:cs="Calibri" w:eastAsia="Calibri" w:hAnsi="Calibri"/>
          <w:sz w:val="21"/>
          <w:szCs w:val="21"/>
        </w:rPr>
        <w:t xml:space="preserve"> days notice where an undisputed invoice is more than </w:t>
      </w:r>
      <w:r>
        <w:rPr>
          <w:rFonts w:ascii="Calibri" w:cs="Calibri" w:eastAsia="Calibri" w:hAnsi="Calibri"/>
          <w:b/>
          <w:bCs/>
          <w:sz w:val="21"/>
          <w:szCs w:val="21"/>
        </w:rPr>
        <w:t xml:space="preserve">[30]</w:t>
      </w:r>
      <w:r>
        <w:rPr>
          <w:rFonts w:ascii="Calibri" w:cs="Calibri" w:eastAsia="Calibri" w:hAnsi="Calibri"/>
          <w:sz w:val="21"/>
          <w:szCs w:val="21"/>
        </w:rPr>
        <w:t xml:space="preserve"> days overdue.</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sz w:val="21"/>
          <w:szCs w:val="21"/>
        </w:rPr>
        <w:t xml:space="preserve">The Client may withhold a genuinely disputed amount provided it notifies the dispute within </w:t>
      </w:r>
      <w:r>
        <w:rPr>
          <w:rFonts w:ascii="Calibri" w:cs="Calibri" w:eastAsia="Calibri" w:hAnsi="Calibri"/>
          <w:b/>
          <w:bCs/>
          <w:sz w:val="21"/>
          <w:szCs w:val="21"/>
        </w:rPr>
        <w:t xml:space="preserve">[10]</w:t>
      </w:r>
      <w:r>
        <w:rPr>
          <w:rFonts w:ascii="Calibri" w:cs="Calibri" w:eastAsia="Calibri" w:hAnsi="Calibri"/>
          <w:sz w:val="21"/>
          <w:szCs w:val="21"/>
        </w:rPr>
        <w:t xml:space="preserve"> business days and pays the balance.</w:t>
      </w:r>
    </w:p>
    <w:p>
      <w:pPr>
        <w:spacing w:after="120" w:before="60" w:line="276"/>
        <w:ind w:left="720" w:hanging="720"/>
        <w:jc w:val="both"/>
      </w:pPr>
      <w:r>
        <w:rPr>
          <w:rFonts w:ascii="Calibri" w:cs="Calibri" w:eastAsia="Calibri" w:hAnsi="Calibri"/>
          <w:sz w:val="21"/>
          <w:szCs w:val="21"/>
        </w:rPr>
        <w:t xml:space="preserve">3.7	</w:t>
      </w:r>
      <w:r>
        <w:rPr>
          <w:rFonts w:ascii="Calibri" w:cs="Calibri" w:eastAsia="Calibri" w:hAnsi="Calibri"/>
          <w:b/>
          <w:bCs/>
          <w:sz w:val="21"/>
          <w:szCs w:val="21"/>
        </w:rPr>
        <w:t xml:space="preserve">[Where the Supplier is non-resident]</w:t>
      </w:r>
      <w:r>
        <w:rPr>
          <w:rFonts w:ascii="Calibri" w:cs="Calibri" w:eastAsia="Calibri" w:hAnsi="Calibri"/>
          <w:sz w:val="21"/>
          <w:szCs w:val="21"/>
        </w:rPr>
        <w:t xml:space="preserve"> Where any withholding is required by law on a payment, </w:t>
      </w:r>
      <w:r>
        <w:rPr>
          <w:rFonts w:ascii="Calibri" w:cs="Calibri" w:eastAsia="Calibri" w:hAnsi="Calibri"/>
          <w:b/>
          <w:bCs/>
          <w:sz w:val="21"/>
          <w:szCs w:val="21"/>
        </w:rPr>
        <w:t xml:space="preserve">[the Client shall gross up / the Supplier bears it]</w:t>
      </w:r>
      <w:r>
        <w:rPr>
          <w:rFonts w:ascii="Calibri" w:cs="Calibri" w:eastAsia="Calibri" w:hAnsi="Calibri"/>
          <w:sz w:val="21"/>
          <w:szCs w:val="21"/>
        </w:rPr>
        <w:t xml:space="preserve">. </w:t>
      </w:r>
      <w:r>
        <w:rPr>
          <w:rFonts w:ascii="Calibri" w:cs="Calibri" w:eastAsia="Calibri" w:hAnsi="Calibri"/>
          <w:i/>
          <w:iCs/>
          <w:sz w:val="21"/>
          <w:szCs w:val="21"/>
        </w:rPr>
        <w:t xml:space="preserve">(A commercial decision — specify.)</w:t>
      </w:r>
    </w:p>
    <w:p>
      <w:pPr>
        <w:keepNext/>
        <w:spacing w:after="120" w:before="280"/>
        <w:outlineLvl w:val="0"/>
      </w:pPr>
      <w:r>
        <w:rPr>
          <w:rFonts w:ascii="Calibri" w:cs="Calibri" w:eastAsia="Calibri" w:hAnsi="Calibri"/>
          <w:b/>
          <w:bCs/>
          <w:color w:val="14161B"/>
          <w:sz w:val="22"/>
          <w:szCs w:val="22"/>
        </w:rPr>
        <w:t xml:space="preserve">4. CHANGE CONTROL</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Either party may request a change. The Supplier shall respond with the effect on scope, timetable and price.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No change takes effect until agreed in writing.</w:t>
      </w:r>
      <w:r>
        <w:rPr>
          <w:rFonts w:ascii="Calibri" w:cs="Calibri" w:eastAsia="Calibri" w:hAnsi="Calibri"/>
          <w:sz w:val="21"/>
          <w:szCs w:val="21"/>
        </w:rPr>
        <w:t xml:space="preserve"> The Supplier is not obliged to perform additional work, and the Client is not obliged to pay for it, absent agreement.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INTELLECTUAL PROPERTY</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Background IP</w:t>
      </w:r>
      <w:r>
        <w:rPr>
          <w:rFonts w:ascii="Calibri" w:cs="Calibri" w:eastAsia="Calibri" w:hAnsi="Calibri"/>
          <w:sz w:val="21"/>
          <w:szCs w:val="21"/>
        </w:rPr>
        <w:t xml:space="preserve"> — anything either party owned before this agreement or developed independently of it — remains that party’s property.</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[Assignment]</w:t>
      </w:r>
      <w:r>
        <w:rPr>
          <w:rFonts w:ascii="Calibri" w:cs="Calibri" w:eastAsia="Calibri" w:hAnsi="Calibri"/>
          <w:sz w:val="21"/>
          <w:szCs w:val="21"/>
        </w:rPr>
        <w:t xml:space="preserve"> On payment in full for the relevant Statement of Work, the Supplier </w:t>
      </w:r>
      <w:r>
        <w:rPr>
          <w:rFonts w:ascii="Calibri" w:cs="Calibri" w:eastAsia="Calibri" w:hAnsi="Calibri"/>
          <w:b/>
          <w:bCs/>
          <w:sz w:val="21"/>
          <w:szCs w:val="21"/>
        </w:rPr>
        <w:t xml:space="preserve">assigns</w:t>
      </w:r>
      <w:r>
        <w:rPr>
          <w:rFonts w:ascii="Calibri" w:cs="Calibri" w:eastAsia="Calibri" w:hAnsi="Calibri"/>
          <w:sz w:val="21"/>
          <w:szCs w:val="21"/>
        </w:rPr>
        <w:t xml:space="preserve"> to the Client all intellectual property in the deliverables created specifically for the Client under it, and shall execute any document required to perfect the assignment.</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Supplier retains its tools, methodologies, frameworks and know-how, including anything of general application developed while performing the services, and grants the Client a licence to use them to the extent embedded in the deliverables.</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Where deliverables incorporate third party or open source material, the Supplier shall identify it and ensure the Client has the necessary rights. </w:t>
      </w:r>
      <w:r>
        <w:rPr>
          <w:rFonts w:ascii="Calibri" w:cs="Calibri" w:eastAsia="Calibri" w:hAnsi="Calibri"/>
          <w:b/>
          <w:bCs/>
          <w:sz w:val="21"/>
          <w:szCs w:val="21"/>
        </w:rPr>
        <w:t xml:space="preserve">The Supplier shall not incorporate open source under a licence with copyleft obligations without the Client’s prior written consent.</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i/>
          <w:iCs/>
          <w:sz w:val="21"/>
          <w:szCs w:val="21"/>
        </w:rPr>
        <w:t xml:space="preserve">Assignment is not automatic. Unlike work created by an employee in the course of employment, intellectual property created by a contractor generally stays with the contractor unless expressly assigned. This is the most common gap in consultancy arrangements.</w:t>
      </w:r>
    </w:p>
    <w:p>
      <w:pPr>
        <w:keepNext/>
        <w:spacing w:after="120" w:before="280"/>
        <w:outlineLvl w:val="0"/>
      </w:pPr>
      <w:r>
        <w:rPr>
          <w:rFonts w:ascii="Calibri" w:cs="Calibri" w:eastAsia="Calibri" w:hAnsi="Calibri"/>
          <w:b/>
          <w:bCs/>
          <w:color w:val="14161B"/>
          <w:sz w:val="22"/>
          <w:szCs w:val="22"/>
        </w:rPr>
        <w:t xml:space="preserve">6. CONFIDENTIALITY AND DATA</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Each party shall keep the other’s confidential information confidential, use it only for this agreement, and return or destroy it on termination, subject to backup retention under continuing obligations.</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Where the Supplier processes personal data for the Client, it shall comply with the </w:t>
      </w:r>
      <w:r>
        <w:rPr>
          <w:rFonts w:ascii="Calibri" w:cs="Calibri" w:eastAsia="Calibri" w:hAnsi="Calibri"/>
          <w:b/>
          <w:bCs/>
          <w:sz w:val="21"/>
          <w:szCs w:val="21"/>
        </w:rPr>
        <w:t xml:space="preserve">applicable UAE data protection regime</w:t>
      </w:r>
      <w:r>
        <w:rPr>
          <w:rFonts w:ascii="Calibri" w:cs="Calibri" w:eastAsia="Calibri" w:hAnsi="Calibri"/>
          <w:sz w:val="21"/>
          <w:szCs w:val="21"/>
        </w:rPr>
        <w:t xml:space="preserve">, process only on the Client’s instructions, apply reasonable security, </w:t>
      </w:r>
      <w:r>
        <w:rPr>
          <w:rFonts w:ascii="Calibri" w:cs="Calibri" w:eastAsia="Calibri" w:hAnsi="Calibri"/>
          <w:b/>
          <w:bCs/>
          <w:sz w:val="21"/>
          <w:szCs w:val="21"/>
        </w:rPr>
        <w:t xml:space="preserve">notify the Client immediately of any data breach</w:t>
      </w:r>
      <w:r>
        <w:rPr>
          <w:rFonts w:ascii="Calibri" w:cs="Calibri" w:eastAsia="Calibri" w:hAnsi="Calibri"/>
          <w:sz w:val="21"/>
          <w:szCs w:val="21"/>
        </w:rPr>
        <w:t xml:space="preserve">, not engage a sub-processor without consent, and not transfer data outside the applicable jurisdiction without appropriate safeguards.</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i/>
          <w:iCs/>
          <w:sz w:val="21"/>
          <w:szCs w:val="21"/>
        </w:rPr>
        <w:t xml:space="preserve">Which regime applies depends on where each party is established. Where the Client is in DIFC and the Supplier onshore, the disclosure is a restricted transfer — the mainland is not on the DIFC adequacy list.</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Neither party shall use the other’s name or logo publicly without prior written consent.</w:t>
      </w:r>
    </w:p>
    <w:p>
      <w:pPr>
        <w:keepNext/>
        <w:spacing w:after="120" w:before="280"/>
        <w:outlineLvl w:val="0"/>
      </w:pPr>
      <w:r>
        <w:rPr>
          <w:rFonts w:ascii="Calibri" w:cs="Calibri" w:eastAsia="Calibri" w:hAnsi="Calibri"/>
          <w:b/>
          <w:bCs/>
          <w:color w:val="14161B"/>
          <w:sz w:val="22"/>
          <w:szCs w:val="22"/>
        </w:rPr>
        <w:t xml:space="preserve">7. WARRANTIES AND LIABILITY</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Supplier warrants that the services will be performed with reasonable skill and care by appropriately qualified personnel, and that deliverables will conform in material respects to the Statement of Work for </w:t>
      </w:r>
      <w:r>
        <w:rPr>
          <w:rFonts w:ascii="Calibri" w:cs="Calibri" w:eastAsia="Calibri" w:hAnsi="Calibri"/>
          <w:b/>
          <w:bCs/>
          <w:sz w:val="21"/>
          <w:szCs w:val="21"/>
        </w:rPr>
        <w:t xml:space="preserve">[90]</w:t>
      </w:r>
      <w:r>
        <w:rPr>
          <w:rFonts w:ascii="Calibri" w:cs="Calibri" w:eastAsia="Calibri" w:hAnsi="Calibri"/>
          <w:sz w:val="21"/>
          <w:szCs w:val="21"/>
        </w:rPr>
        <w:t xml:space="preserve"> days after acceptance. The remedy for breach is re-performance or correction at the Supplier’s cost.</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Neither party excludes liability for death or personal injury caused by negligence, for fraud, or for anything that cannot lawfully be excluded.</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Subject to Clause 7.2, neither party is liable for </w:t>
      </w:r>
      <w:r>
        <w:rPr>
          <w:rFonts w:ascii="Calibri" w:cs="Calibri" w:eastAsia="Calibri" w:hAnsi="Calibri"/>
          <w:b/>
          <w:bCs/>
          <w:sz w:val="21"/>
          <w:szCs w:val="21"/>
        </w:rPr>
        <w:t xml:space="preserve">indirect or consequential loss, loss of profit, loss of revenue, loss of anticipated savings or loss of goodwill</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Subject to Clause 7.2, each party’s total liability is capped at </w:t>
      </w:r>
      <w:r>
        <w:rPr>
          <w:rFonts w:ascii="Calibri" w:cs="Calibri" w:eastAsia="Calibri" w:hAnsi="Calibri"/>
          <w:b/>
          <w:bCs/>
          <w:sz w:val="21"/>
          <w:szCs w:val="21"/>
        </w:rPr>
        <w:t xml:space="preserve">[the fees paid under the relevant Statement of Work in the 12 months before the claim / AED ______]</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b/>
          <w:bCs/>
          <w:sz w:val="21"/>
          <w:szCs w:val="21"/>
        </w:rPr>
        <w:t xml:space="preserve">[Carve-outs]</w:t>
      </w:r>
      <w:r>
        <w:rPr>
          <w:rFonts w:ascii="Calibri" w:cs="Calibri" w:eastAsia="Calibri" w:hAnsi="Calibri"/>
          <w:sz w:val="21"/>
          <w:szCs w:val="21"/>
        </w:rPr>
        <w:t xml:space="preserve"> The cap does not apply to breach of confidentiality, breach of the data protection obligations, or the IP indemnity. </w:t>
      </w:r>
      <w:r>
        <w:rPr>
          <w:rFonts w:ascii="Calibri" w:cs="Calibri" w:eastAsia="Calibri" w:hAnsi="Calibri"/>
          <w:i/>
          <w:iCs/>
          <w:sz w:val="21"/>
          <w:szCs w:val="21"/>
        </w:rPr>
        <w:t xml:space="preserve">(Whether these sit inside or outside the cap is heavily negotiated.)</w:t>
      </w:r>
    </w:p>
    <w:p>
      <w:pPr>
        <w:spacing w:after="120" w:before="60" w:line="276"/>
        <w:ind w:left="720" w:hanging="720"/>
        <w:jc w:val="both"/>
      </w:pPr>
      <w:r>
        <w:rPr>
          <w:rFonts w:ascii="Calibri" w:cs="Calibri" w:eastAsia="Calibri" w:hAnsi="Calibri"/>
          <w:sz w:val="21"/>
          <w:szCs w:val="21"/>
        </w:rPr>
        <w:t xml:space="preserve">7.6	</w:t>
      </w:r>
      <w:r>
        <w:rPr>
          <w:rFonts w:ascii="Calibri" w:cs="Calibri" w:eastAsia="Calibri" w:hAnsi="Calibri"/>
          <w:sz w:val="21"/>
          <w:szCs w:val="21"/>
        </w:rPr>
        <w:t xml:space="preserve">The Supplier shall indemnify the Client against claims that a deliverable infringes a third party’s intellectual property.</w:t>
      </w:r>
    </w:p>
    <w:p>
      <w:pPr>
        <w:spacing w:after="120" w:before="60" w:line="276"/>
        <w:ind w:left="720" w:hanging="720"/>
        <w:jc w:val="both"/>
      </w:pPr>
      <w:r>
        <w:rPr>
          <w:rFonts w:ascii="Calibri" w:cs="Calibri" w:eastAsia="Calibri" w:hAnsi="Calibri"/>
          <w:sz w:val="21"/>
          <w:szCs w:val="21"/>
        </w:rPr>
        <w:t xml:space="preserve">7.7	</w:t>
      </w:r>
      <w:r>
        <w:rPr>
          <w:rFonts w:ascii="Calibri" w:cs="Calibri" w:eastAsia="Calibri" w:hAnsi="Calibri"/>
          <w:sz w:val="21"/>
          <w:szCs w:val="21"/>
        </w:rPr>
        <w:t xml:space="preserve">The Supplier shall maintain </w:t>
      </w:r>
      <w:r>
        <w:rPr>
          <w:rFonts w:ascii="Calibri" w:cs="Calibri" w:eastAsia="Calibri" w:hAnsi="Calibri"/>
          <w:b/>
          <w:bCs/>
          <w:sz w:val="21"/>
          <w:szCs w:val="21"/>
        </w:rPr>
        <w:t xml:space="preserve">[professional indemnity insurance of AED ______ and public liability insurance of AED ______]</w:t>
      </w:r>
      <w:r>
        <w:rPr>
          <w:rFonts w:ascii="Calibri" w:cs="Calibri" w:eastAsia="Calibri" w:hAnsi="Calibri"/>
          <w:sz w:val="21"/>
          <w:szCs w:val="21"/>
        </w:rPr>
        <w:t xml:space="preserve">, and provide evidence on request.</w:t>
      </w:r>
    </w:p>
    <w:p>
      <w:pPr>
        <w:keepNext/>
        <w:spacing w:after="120" w:before="280"/>
        <w:outlineLvl w:val="0"/>
      </w:pPr>
      <w:r>
        <w:rPr>
          <w:rFonts w:ascii="Calibri" w:cs="Calibri" w:eastAsia="Calibri" w:hAnsi="Calibri"/>
          <w:b/>
          <w:bCs/>
          <w:color w:val="14161B"/>
          <w:sz w:val="22"/>
          <w:szCs w:val="22"/>
        </w:rPr>
        <w:t xml:space="preserve">8. TERM AND TERMINATION</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This agreement runs for the term stated and renews for successive </w:t>
      </w:r>
      <w:r>
        <w:rPr>
          <w:rFonts w:ascii="Calibri" w:cs="Calibri" w:eastAsia="Calibri" w:hAnsi="Calibri"/>
          <w:b/>
          <w:bCs/>
          <w:sz w:val="21"/>
          <w:szCs w:val="21"/>
        </w:rPr>
        <w:t xml:space="preserve">[12]</w:t>
      </w:r>
      <w:r>
        <w:rPr>
          <w:rFonts w:ascii="Calibri" w:cs="Calibri" w:eastAsia="Calibri" w:hAnsi="Calibri"/>
          <w:sz w:val="21"/>
          <w:szCs w:val="21"/>
        </w:rPr>
        <w:t xml:space="preserve">-month periods unless either party gives </w:t>
      </w:r>
      <w:r>
        <w:rPr>
          <w:rFonts w:ascii="Calibri" w:cs="Calibri" w:eastAsia="Calibri" w:hAnsi="Calibri"/>
          <w:b/>
          <w:bCs/>
          <w:sz w:val="21"/>
          <w:szCs w:val="21"/>
        </w:rPr>
        <w:t xml:space="preserve">[60]</w:t>
      </w:r>
      <w:r>
        <w:rPr>
          <w:rFonts w:ascii="Calibri" w:cs="Calibri" w:eastAsia="Calibri" w:hAnsi="Calibri"/>
          <w:sz w:val="21"/>
          <w:szCs w:val="21"/>
        </w:rPr>
        <w:t xml:space="preserve"> days notice.</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Either party may terminate this agreement or any Statement of Work on </w:t>
      </w:r>
      <w:r>
        <w:rPr>
          <w:rFonts w:ascii="Calibri" w:cs="Calibri" w:eastAsia="Calibri" w:hAnsi="Calibri"/>
          <w:b/>
          <w:bCs/>
          <w:sz w:val="21"/>
          <w:szCs w:val="21"/>
        </w:rPr>
        <w:t xml:space="preserve">[30]</w:t>
      </w:r>
      <w:r>
        <w:rPr>
          <w:rFonts w:ascii="Calibri" w:cs="Calibri" w:eastAsia="Calibri" w:hAnsi="Calibri"/>
          <w:sz w:val="21"/>
          <w:szCs w:val="21"/>
        </w:rPr>
        <w:t xml:space="preserve"> days notice, or immediately for material breach not remedied within </w:t>
      </w:r>
      <w:r>
        <w:rPr>
          <w:rFonts w:ascii="Calibri" w:cs="Calibri" w:eastAsia="Calibri" w:hAnsi="Calibri"/>
          <w:b/>
          <w:bCs/>
          <w:sz w:val="21"/>
          <w:szCs w:val="21"/>
        </w:rPr>
        <w:t xml:space="preserve">[14]</w:t>
      </w:r>
      <w:r>
        <w:rPr>
          <w:rFonts w:ascii="Calibri" w:cs="Calibri" w:eastAsia="Calibri" w:hAnsi="Calibri"/>
          <w:sz w:val="21"/>
          <w:szCs w:val="21"/>
        </w:rPr>
        <w:t xml:space="preserve"> days, or on insolvency.</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The Client may terminate immediately where the Supplier ceases to hold a valid licence or permit for the services.</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On termination the Client shall pay for services performed to that date, and the Supplier shall deliver work in progress and co-operate in an orderly handover for up to </w:t>
      </w:r>
      <w:r>
        <w:rPr>
          <w:rFonts w:ascii="Calibri" w:cs="Calibri" w:eastAsia="Calibri" w:hAnsi="Calibri"/>
          <w:b/>
          <w:bCs/>
          <w:sz w:val="21"/>
          <w:szCs w:val="21"/>
        </w:rPr>
        <w:t xml:space="preserve">[30]</w:t>
      </w:r>
      <w:r>
        <w:rPr>
          <w:rFonts w:ascii="Calibri" w:cs="Calibri" w:eastAsia="Calibri" w:hAnsi="Calibri"/>
          <w:sz w:val="21"/>
          <w:szCs w:val="21"/>
        </w:rPr>
        <w:t xml:space="preserve"> days at its standard rates.</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Clauses 5, 6, 7 and 9 survive termination.</w:t>
      </w:r>
    </w:p>
    <w:p>
      <w:pPr>
        <w:keepNext/>
        <w:spacing w:after="120" w:before="280"/>
        <w:outlineLvl w:val="0"/>
      </w:pPr>
      <w:r>
        <w:rPr>
          <w:rFonts w:ascii="Calibri" w:cs="Calibri" w:eastAsia="Calibri" w:hAnsi="Calibri"/>
          <w:b/>
          <w:bCs/>
          <w:color w:val="14161B"/>
          <w:sz w:val="22"/>
          <w:szCs w:val="22"/>
        </w:rPr>
        <w:t xml:space="preserve">9. GENERAL</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Neither party shall, during the term and for </w:t>
      </w:r>
      <w:r>
        <w:rPr>
          <w:rFonts w:ascii="Calibri" w:cs="Calibri" w:eastAsia="Calibri" w:hAnsi="Calibri"/>
          <w:b/>
          <w:bCs/>
          <w:sz w:val="21"/>
          <w:szCs w:val="21"/>
        </w:rPr>
        <w:t xml:space="preserve">[6]</w:t>
      </w:r>
      <w:r>
        <w:rPr>
          <w:rFonts w:ascii="Calibri" w:cs="Calibri" w:eastAsia="Calibri" w:hAnsi="Calibri"/>
          <w:sz w:val="21"/>
          <w:szCs w:val="21"/>
        </w:rPr>
        <w:t xml:space="preserve"> months after, solicit or employ any employee of the other materially involved in the services, save where they respond to a public advertisement.</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The Supplier may subcontract only with the Client’s written consent and remains fully responsible for any subcontractor.</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Neither party is liable for failure caused by an event beyond its reasonable control, provided it notifies and mitigates.</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This agreement and the Statements of Work are the entire agreement; no amendment is effective unless in writing and signed.</w:t>
      </w:r>
    </w:p>
    <w:p>
      <w:pPr>
        <w:spacing w:after="120" w:before="60" w:line="276"/>
        <w:ind w:left="720" w:hanging="720"/>
        <w:jc w:val="both"/>
      </w:pPr>
      <w:r>
        <w:rPr>
          <w:rFonts w:ascii="Calibri" w:cs="Calibri" w:eastAsia="Calibri" w:hAnsi="Calibri"/>
          <w:sz w:val="21"/>
          <w:szCs w:val="21"/>
        </w:rPr>
        <w:t xml:space="preserve">9.5	</w:t>
      </w:r>
      <w:r>
        <w:rPr>
          <w:rFonts w:ascii="Calibri" w:cs="Calibri" w:eastAsia="Calibri" w:hAnsi="Calibri"/>
          <w:sz w:val="21"/>
          <w:szCs w:val="21"/>
        </w:rPr>
        <w:t xml:space="preserve">This agreement is governed by </w:t>
      </w:r>
      <w:r>
        <w:rPr>
          <w:rFonts w:ascii="Calibri" w:cs="Calibri" w:eastAsia="Calibri" w:hAnsi="Calibri"/>
          <w:b/>
          <w:bCs/>
          <w:sz w:val="21"/>
          <w:szCs w:val="21"/>
        </w:rPr>
        <w:t xml:space="preserve">[the laws of the UAE and the emirate of ______ / DIFC law / ADGM law]</w:t>
      </w:r>
      <w:r>
        <w:rPr>
          <w:rFonts w:ascii="Calibri" w:cs="Calibri" w:eastAsia="Calibri" w:hAnsi="Calibri"/>
          <w:sz w:val="21"/>
          <w:szCs w:val="21"/>
        </w:rPr>
        <w:t xml:space="preserve"> and the parties submit to </w:t>
      </w:r>
      <w:r>
        <w:rPr>
          <w:rFonts w:ascii="Calibri" w:cs="Calibri" w:eastAsia="Calibri" w:hAnsi="Calibri"/>
          <w:b/>
          <w:bCs/>
          <w:sz w:val="21"/>
          <w:szCs w:val="21"/>
        </w:rPr>
        <w:t xml:space="preserve">[the courts of ______ / the DIFC Courts / the ADGM Courts / arbitration]</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9.6	</w:t>
      </w:r>
      <w:r>
        <w:rPr>
          <w:rFonts w:ascii="Calibri" w:cs="Calibri" w:eastAsia="Calibri" w:hAnsi="Calibri"/>
          <w:b/>
          <w:bCs/>
          <w:sz w:val="21"/>
          <w:szCs w:val="21"/>
        </w:rPr>
        <w:t xml:space="preserve">[Where bilingual]</w:t>
      </w:r>
      <w:r>
        <w:rPr>
          <w:rFonts w:ascii="Calibri" w:cs="Calibri" w:eastAsia="Calibri" w:hAnsi="Calibri"/>
          <w:sz w:val="21"/>
          <w:szCs w:val="21"/>
        </w:rPr>
        <w:t xml:space="preserve"> Executed in English and Arabic. </w:t>
      </w:r>
      <w:r>
        <w:rPr>
          <w:rFonts w:ascii="Calibri" w:cs="Calibri" w:eastAsia="Calibri" w:hAnsi="Calibri"/>
          <w:b/>
          <w:bCs/>
          <w:sz w:val="21"/>
          <w:szCs w:val="21"/>
        </w:rPr>
        <w:t xml:space="preserve">In the event of conflict the Arabic version prevails.</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[SUPPLIER]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[CLIENT]</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STATEMENT OF WORK</w:t>
      </w:r>
    </w:p>
    <w:p>
      <w:pPr>
        <w:spacing w:after="260"/>
        <w:jc w:val="center"/>
      </w:pPr>
      <w:r>
        <w:rPr>
          <w:rFonts w:ascii="Calibri" w:cs="Calibri" w:eastAsia="Calibri" w:hAnsi="Calibri"/>
          <w:i/>
          <w:iCs/>
          <w:color w:val="6E7480"/>
          <w:sz w:val="19"/>
          <w:szCs w:val="19"/>
        </w:rPr>
        <w:t xml:space="preserve">SOW number </w:t>
      </w:r>
      <w:r>
        <w:rPr>
          <w:rFonts w:ascii="Calibri" w:cs="Calibri" w:eastAsia="Calibri" w:hAnsi="Calibri"/>
          <w:b/>
          <w:bCs/>
          <w:i/>
          <w:iCs/>
          <w:color w:val="6E7480"/>
          <w:sz w:val="19"/>
          <w:szCs w:val="19"/>
        </w:rPr>
        <w:t xml:space="preserve">[NUMBER]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cantSplit/>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SOW number and date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 </w:t>
            </w:r>
            <w:r>
              <w:rPr>
                <w:rFonts w:ascii="Calibri" w:cs="Calibri" w:eastAsia="Calibri" w:hAnsi="Calibri"/>
                <w:b/>
                <w:bCs/>
                <w:sz w:val="18"/>
                <w:szCs w:val="18"/>
              </w:rPr>
              <w:t xml:space="preserve">[DATE]</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Client contact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r>
              <w:rPr>
                <w:rFonts w:ascii="Calibri" w:cs="Calibri" w:eastAsia="Calibri" w:hAnsi="Calibri"/>
                <w:sz w:val="18"/>
                <w:szCs w:val="18"/>
              </w:rPr>
              <w:t xml:space="preserve">, </w:t>
            </w:r>
            <w:r>
              <w:rPr>
                <w:rFonts w:ascii="Calibri" w:cs="Calibri" w:eastAsia="Calibri" w:hAnsi="Calibri"/>
                <w:b/>
                <w:bCs/>
                <w:sz w:val="18"/>
                <w:szCs w:val="18"/>
              </w:rPr>
              <w:t xml:space="preserve">[EMAIL]</w:t>
            </w:r>
            <w:r>
              <w:rPr>
                <w:rFonts w:ascii="Calibri" w:cs="Calibri" w:eastAsia="Calibri" w:hAnsi="Calibri"/>
                <w:sz w:val="18"/>
                <w:szCs w:val="18"/>
              </w:rPr>
              <w:t xml:space="preserve"> — authorised to approve changes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Supplier contact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r>
              <w:rPr>
                <w:rFonts w:ascii="Calibri" w:cs="Calibri" w:eastAsia="Calibri" w:hAnsi="Calibri"/>
                <w:sz w:val="18"/>
                <w:szCs w:val="18"/>
              </w:rPr>
              <w:t xml:space="preserve">, </w:t>
            </w:r>
            <w:r>
              <w:rPr>
                <w:rFonts w:ascii="Calibri" w:cs="Calibri" w:eastAsia="Calibri" w:hAnsi="Calibri"/>
                <w:b/>
                <w:bCs/>
                <w:sz w:val="18"/>
                <w:szCs w:val="18"/>
              </w:rPr>
              <w:t xml:space="preserve">[EMAIL]</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Objective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THE CLIENT IS TRYING TO ACHIEVE — one paragraph]</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Scope — in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[LIST SPECIFICALLY]</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Scope — out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[LIST — this list prevents more disputes than the "in" list]</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Deliverables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[ITEMISE with format and acceptance criteria]</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Acceptance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[10]</w:t>
            </w:r>
            <w:r>
              <w:rPr>
                <w:rFonts w:ascii="Calibri" w:cs="Calibri" w:eastAsia="Calibri" w:hAnsi="Calibri"/>
                <w:sz w:val="18"/>
                <w:szCs w:val="18"/>
              </w:rPr>
              <w:t xml:space="preserve"> business days from delivery; deemed accepted if not rejected in writing with reasons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Timetable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[MILESTONES WITH DATES]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Client dependencies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THE CLIENT MUST PROVIDE, BY WHEN]</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Team and rates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[NAMED ROLES, DAY RATES]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Fees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[FIXED PRICE OF AED ______ / TIME AND MATERIALS, ESTIMATED AED ______]</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Estimate cap</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[Supplier shall notify before exceeding ______ per cent of the estimate]</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Expenses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[Pre-approved, at cost]</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Assumptions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THIS ESTIMATE ASSUMES — if an assumption fails, it is a change]</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Third party or open source material</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[IDENTIFY with licence terms]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Personal data processed</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[None / Describe — and under which regime]</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location and permits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[Where the work is performed; permit position confirmed]</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Variations to the Master Agreement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[None — or identify the clause varied and how]</w:t>
            </w:r>
          </w:p>
        </w:tc>
      </w:tr>
    </w:tbl>
    <w:p>
      <w:pPr>
        <w:spacing w:after="16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[SUPPLIER]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[CLIENT]</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Check the supplier is licensed for the work</w:t>
      </w:r>
    </w:p>
    <w:p>
      <w:pPr>
        <w:spacing w:after="60" w:line="264"/>
        <w:jc w:val="both"/>
      </w:pPr>
      <w:r>
        <w:rPr>
          <w:rFonts w:ascii="Calibri" w:cs="Calibri" w:eastAsia="Calibri" w:hAnsi="Calibri"/>
          <w:sz w:val="19"/>
          <w:szCs w:val="19"/>
        </w:rPr>
        <w:t xml:space="preserve">A UAE company may only carry on the activities on its trade licence. Engaging a supplier for services outside its licence exposes both parties, and the invoice may be questioned. Ask for the licence, read the activity list, and re-check on renewal.</w:t>
      </w:r>
    </w:p>
    <w:p>
      <w:pPr>
        <w:keepNext/>
        <w:spacing w:after="40" w:before="140"/>
      </w:pPr>
      <w:r>
        <w:rPr>
          <w:rFonts w:ascii="Calibri" w:cs="Calibri" w:eastAsia="Calibri" w:hAnsi="Calibri"/>
          <w:b/>
          <w:bCs/>
          <w:color w:val="14161B"/>
          <w:sz w:val="20"/>
          <w:szCs w:val="20"/>
        </w:rPr>
        <w:t xml:space="preserve">An individual needs a permit to provide services</w:t>
      </w:r>
    </w:p>
    <w:p>
      <w:pPr>
        <w:spacing w:after="60" w:line="264"/>
        <w:jc w:val="both"/>
      </w:pPr>
      <w:r>
        <w:rPr>
          <w:rFonts w:ascii="Calibri" w:cs="Calibri" w:eastAsia="Calibri" w:hAnsi="Calibri"/>
          <w:sz w:val="19"/>
          <w:szCs w:val="19"/>
        </w:rPr>
        <w:t xml:space="preserve">A person cannot simply invoice you as a freelancer. They need a freelance permit, a Green Visa, or written consent from their sponsoring employer. Engaging someone without one creates exposure for the client as well as the individual, and it is the most common informal arrangement in the market.</w:t>
      </w:r>
    </w:p>
    <w:p>
      <w:pPr>
        <w:keepNext/>
        <w:spacing w:after="40" w:before="140"/>
      </w:pPr>
      <w:r>
        <w:rPr>
          <w:rFonts w:ascii="Calibri" w:cs="Calibri" w:eastAsia="Calibri" w:hAnsi="Calibri"/>
          <w:b/>
          <w:bCs/>
          <w:color w:val="14161B"/>
          <w:sz w:val="20"/>
          <w:szCs w:val="20"/>
        </w:rPr>
        <w:t xml:space="preserve">Do not treat a consultant like staff</w:t>
      </w:r>
    </w:p>
    <w:p>
      <w:pPr>
        <w:spacing w:after="60" w:line="264"/>
        <w:jc w:val="both"/>
      </w:pPr>
      <w:r>
        <w:rPr>
          <w:rFonts w:ascii="Calibri" w:cs="Calibri" w:eastAsia="Calibri" w:hAnsi="Calibri"/>
          <w:sz w:val="19"/>
          <w:szCs w:val="19"/>
        </w:rPr>
        <w:t xml:space="preserve">Fixed hours set by you, a company email identity, appraisals, a line manager and a desk in your office all point towards employment. Where an engagement genuinely needs that level of integration, employ the person and obtain the work permit. Clause 2.5 sets the boundary; the practice has to match it.</w:t>
      </w:r>
    </w:p>
    <w:p>
      <w:pPr>
        <w:keepNext/>
        <w:spacing w:after="40" w:before="140"/>
      </w:pPr>
      <w:r>
        <w:rPr>
          <w:rFonts w:ascii="Calibri" w:cs="Calibri" w:eastAsia="Calibri" w:hAnsi="Calibri"/>
          <w:b/>
          <w:bCs/>
          <w:color w:val="14161B"/>
          <w:sz w:val="20"/>
          <w:szCs w:val="20"/>
        </w:rPr>
        <w:t xml:space="preserve">Assign the IP expressly</w:t>
      </w:r>
    </w:p>
    <w:p>
      <w:pPr>
        <w:spacing w:after="60" w:line="264"/>
        <w:jc w:val="both"/>
      </w:pPr>
      <w:r>
        <w:rPr>
          <w:rFonts w:ascii="Calibri" w:cs="Calibri" w:eastAsia="Calibri" w:hAnsi="Calibri"/>
          <w:sz w:val="19"/>
          <w:szCs w:val="19"/>
        </w:rPr>
        <w:t xml:space="preserve">Intellectual property created by a contractor generally remains theirs unless assigned in writing — unlike work created by an employee in the course of employment. This is the single most common gap in consultancy arrangements and it surfaces in due diligence years later.</w:t>
      </w:r>
    </w:p>
    <w:p>
      <w:pPr>
        <w:keepNext/>
        <w:spacing w:after="40" w:before="140"/>
      </w:pPr>
      <w:r>
        <w:rPr>
          <w:rFonts w:ascii="Calibri" w:cs="Calibri" w:eastAsia="Calibri" w:hAnsi="Calibri"/>
          <w:b/>
          <w:bCs/>
          <w:color w:val="14161B"/>
          <w:sz w:val="20"/>
          <w:szCs w:val="20"/>
        </w:rPr>
        <w:t xml:space="preserve">Ask what open source is in the deliverable</w:t>
      </w:r>
    </w:p>
    <w:p>
      <w:pPr>
        <w:spacing w:after="60" w:line="264"/>
        <w:jc w:val="both"/>
      </w:pPr>
      <w:r>
        <w:rPr>
          <w:rFonts w:ascii="Calibri" w:cs="Calibri" w:eastAsia="Calibri" w:hAnsi="Calibri"/>
          <w:sz w:val="19"/>
          <w:szCs w:val="19"/>
        </w:rPr>
        <w:t xml:space="preserve">Copyleft licences can require disclosure of source code, which is a serious problem for a client expecting proprietary software. Clause 5.4 requires identification and consent. Ask before delivery, not after deployment.</w:t>
      </w:r>
    </w:p>
    <w:p>
      <w:pPr>
        <w:keepNext/>
        <w:spacing w:after="40" w:before="140"/>
      </w:pPr>
      <w:r>
        <w:rPr>
          <w:rFonts w:ascii="Calibri" w:cs="Calibri" w:eastAsia="Calibri" w:hAnsi="Calibri"/>
          <w:b/>
          <w:bCs/>
          <w:color w:val="14161B"/>
          <w:sz w:val="20"/>
          <w:szCs w:val="20"/>
        </w:rPr>
        <w:t xml:space="preserve">Keep commercial terms in the master, scope in the SOW</w:t>
      </w:r>
    </w:p>
    <w:p>
      <w:pPr>
        <w:spacing w:after="60" w:line="264"/>
        <w:jc w:val="both"/>
      </w:pPr>
      <w:r>
        <w:rPr>
          <w:rFonts w:ascii="Calibri" w:cs="Calibri" w:eastAsia="Calibri" w:hAnsi="Calibri"/>
          <w:sz w:val="19"/>
          <w:szCs w:val="19"/>
        </w:rPr>
        <w:t xml:space="preserve">The structure only works if the Statement of Work stays confined to scope, deliverables, timing and price. Once SOWs start varying liability caps and IP ownership there are effectively several contracts and nobody knows which governs.</w:t>
      </w:r>
    </w:p>
    <w:p>
      <w:pPr>
        <w:keepNext/>
        <w:spacing w:after="40" w:before="140"/>
      </w:pPr>
      <w:r>
        <w:rPr>
          <w:rFonts w:ascii="Calibri" w:cs="Calibri" w:eastAsia="Calibri" w:hAnsi="Calibri"/>
          <w:b/>
          <w:bCs/>
          <w:color w:val="14161B"/>
          <w:sz w:val="20"/>
          <w:szCs w:val="20"/>
        </w:rPr>
        <w:t xml:space="preserve">Write the out-of-scope list properly</w:t>
      </w:r>
    </w:p>
    <w:p>
      <w:pPr>
        <w:spacing w:after="60" w:line="264"/>
        <w:jc w:val="both"/>
      </w:pPr>
      <w:r>
        <w:rPr>
          <w:rFonts w:ascii="Calibri" w:cs="Calibri" w:eastAsia="Calibri" w:hAnsi="Calibri"/>
          <w:sz w:val="19"/>
          <w:szCs w:val="19"/>
        </w:rPr>
        <w:t xml:space="preserve">The exclusions list prevents more disputes than the inclusions list. Everyone agrees what is being built; the argument is about what was assumed to come with it. Spend the time on that row.</w:t>
      </w:r>
    </w:p>
    <w:p>
      <w:pPr>
        <w:keepNext/>
        <w:spacing w:after="40" w:before="140"/>
      </w:pPr>
      <w:r>
        <w:rPr>
          <w:rFonts w:ascii="Calibri" w:cs="Calibri" w:eastAsia="Calibri" w:hAnsi="Calibri"/>
          <w:b/>
          <w:bCs/>
          <w:color w:val="14161B"/>
          <w:sz w:val="20"/>
          <w:szCs w:val="20"/>
        </w:rPr>
        <w:t xml:space="preserve">State the assumptions</w:t>
      </w:r>
    </w:p>
    <w:p>
      <w:pPr>
        <w:spacing w:after="60" w:line="264"/>
        <w:jc w:val="both"/>
      </w:pPr>
      <w:r>
        <w:rPr>
          <w:rFonts w:ascii="Calibri" w:cs="Calibri" w:eastAsia="Calibri" w:hAnsi="Calibri"/>
          <w:sz w:val="19"/>
          <w:szCs w:val="19"/>
        </w:rPr>
        <w:t xml:space="preserve">A fixed price rests on assumptions about data quality, access, decision speed and third party cooperation. Recording them converts a failed assumption from an argument into a change request.</w:t>
      </w:r>
    </w:p>
    <w:p>
      <w:pPr>
        <w:keepNext/>
        <w:spacing w:after="40" w:before="140"/>
      </w:pPr>
      <w:r>
        <w:rPr>
          <w:rFonts w:ascii="Calibri" w:cs="Calibri" w:eastAsia="Calibri" w:hAnsi="Calibri"/>
          <w:b/>
          <w:bCs/>
          <w:color w:val="14161B"/>
          <w:sz w:val="20"/>
          <w:szCs w:val="20"/>
        </w:rPr>
        <w:t xml:space="preserve">Client dependencies protect the supplier</w:t>
      </w:r>
    </w:p>
    <w:p>
      <w:pPr>
        <w:spacing w:after="60" w:line="264"/>
        <w:jc w:val="both"/>
      </w:pPr>
      <w:r>
        <w:rPr>
          <w:rFonts w:ascii="Calibri" w:cs="Calibri" w:eastAsia="Calibri" w:hAnsi="Calibri"/>
          <w:sz w:val="19"/>
          <w:szCs w:val="19"/>
        </w:rPr>
        <w:t xml:space="preserve">Most delays in services engagements are caused by the client — late data, unavailable people, slow decisions. Recording dependencies in the SOW converts that from a supplier failure into a documented extension.</w:t>
      </w:r>
    </w:p>
    <w:p>
      <w:pPr>
        <w:keepNext/>
        <w:spacing w:after="40" w:before="140"/>
      </w:pPr>
      <w:r>
        <w:rPr>
          <w:rFonts w:ascii="Calibri" w:cs="Calibri" w:eastAsia="Calibri" w:hAnsi="Calibri"/>
          <w:b/>
          <w:bCs/>
          <w:color w:val="14161B"/>
          <w:sz w:val="20"/>
          <w:szCs w:val="20"/>
        </w:rPr>
        <w:t xml:space="preserve">Get the VAT invoice right</w:t>
      </w:r>
    </w:p>
    <w:p>
      <w:pPr>
        <w:spacing w:after="60" w:line="264"/>
        <w:jc w:val="both"/>
      </w:pPr>
      <w:r>
        <w:rPr>
          <w:rFonts w:ascii="Calibri" w:cs="Calibri" w:eastAsia="Calibri" w:hAnsi="Calibri"/>
          <w:sz w:val="19"/>
          <w:szCs w:val="19"/>
        </w:rPr>
        <w:t xml:space="preserve">The client needs a valid tax invoice with all required particulars to recover input tax, including the VAT amount in dirhams. A defective invoice turns a compliance point into a commercial dispute and a request to reissue.</w:t>
      </w:r>
    </w:p>
    <w:p>
      <w:pPr>
        <w:keepNext/>
        <w:spacing w:after="40" w:before="140"/>
      </w:pPr>
      <w:r>
        <w:rPr>
          <w:rFonts w:ascii="Calibri" w:cs="Calibri" w:eastAsia="Calibri" w:hAnsi="Calibri"/>
          <w:b/>
          <w:bCs/>
          <w:color w:val="14161B"/>
          <w:sz w:val="20"/>
          <w:szCs w:val="20"/>
        </w:rPr>
        <w:t xml:space="preserve">Establish which data protection regime applies</w:t>
      </w:r>
    </w:p>
    <w:p>
      <w:pPr>
        <w:spacing w:after="60" w:line="264"/>
        <w:jc w:val="both"/>
      </w:pPr>
      <w:r>
        <w:rPr>
          <w:rFonts w:ascii="Calibri" w:cs="Calibri" w:eastAsia="Calibri" w:hAnsi="Calibri"/>
          <w:sz w:val="19"/>
          <w:szCs w:val="19"/>
        </w:rPr>
        <w:t xml:space="preserve">Federal PDPL, DIFC or ADGM depends on where each party is established. Where the client is in a financial free zone and the supplier onshore, sending personal data is a restricted transfer requiring safeguards — the mainland is not on the DIFC adequacy list.</w:t>
      </w:r>
    </w:p>
    <w:p>
      <w:pPr>
        <w:keepNext/>
        <w:spacing w:after="40" w:before="140"/>
      </w:pPr>
      <w:r>
        <w:rPr>
          <w:rFonts w:ascii="Calibri" w:cs="Calibri" w:eastAsia="Calibri" w:hAnsi="Calibri"/>
          <w:b/>
          <w:bCs/>
          <w:color w:val="14161B"/>
          <w:sz w:val="20"/>
          <w:szCs w:val="20"/>
        </w:rPr>
        <w:t xml:space="preserve">Decide the forum deliberately</w:t>
      </w:r>
    </w:p>
    <w:p>
      <w:pPr>
        <w:spacing w:after="60" w:line="264"/>
        <w:jc w:val="both"/>
      </w:pPr>
      <w:r>
        <w:rPr>
          <w:rFonts w:ascii="Calibri" w:cs="Calibri" w:eastAsia="Calibri" w:hAnsi="Calibri"/>
          <w:sz w:val="19"/>
          <w:szCs w:val="19"/>
        </w:rPr>
        <w:t xml:space="preserve">Onshore courts operate in Arabic with translated documents; DIFC and ADGM operate in English under common law. For a services dispute the practical difference is cost and speed. Where both parties are onshore an onshore forum is usually unavoidable; where there is a genuine free zone connection, consider it.</w:t>
      </w:r>
    </w:p>
    <w:p>
      <w:pPr>
        <w:keepNext/>
        <w:spacing w:after="40" w:before="140"/>
      </w:pPr>
      <w:r>
        <w:rPr>
          <w:rFonts w:ascii="Calibri" w:cs="Calibri" w:eastAsia="Calibri" w:hAnsi="Calibri"/>
          <w:b/>
          <w:bCs/>
          <w:color w:val="14161B"/>
          <w:sz w:val="20"/>
          <w:szCs w:val="20"/>
        </w:rPr>
        <w:t xml:space="preserve">The liability carve-outs are the real negotiation</w:t>
      </w:r>
    </w:p>
    <w:p>
      <w:pPr>
        <w:spacing w:after="60" w:line="264"/>
        <w:jc w:val="both"/>
      </w:pPr>
      <w:r>
        <w:rPr>
          <w:rFonts w:ascii="Calibri" w:cs="Calibri" w:eastAsia="Calibri" w:hAnsi="Calibri"/>
          <w:sz w:val="19"/>
          <w:szCs w:val="19"/>
        </w:rPr>
        <w:t xml:space="preserve">A cap at twelve months’ fees is standard. Whether confidentiality, data protection and the IP indemnity sit inside or outside it is what matters, because those exposures can dwarf the contract value.</w:t>
      </w:r>
    </w:p>
    <w:p>
      <w:pPr>
        <w:keepNext/>
        <w:spacing w:after="40" w:before="140"/>
      </w:pPr>
      <w:r>
        <w:rPr>
          <w:rFonts w:ascii="Calibri" w:cs="Calibri" w:eastAsia="Calibri" w:hAnsi="Calibri"/>
          <w:b/>
          <w:bCs/>
          <w:color w:val="14161B"/>
          <w:sz w:val="20"/>
          <w:szCs w:val="20"/>
        </w:rPr>
        <w:t xml:space="preserve">Keep non-solicitation reasonable</w:t>
      </w:r>
    </w:p>
    <w:p>
      <w:pPr>
        <w:spacing w:after="60" w:line="264"/>
        <w:jc w:val="both"/>
      </w:pPr>
      <w:r>
        <w:rPr>
          <w:rFonts w:ascii="Calibri" w:cs="Calibri" w:eastAsia="Calibri" w:hAnsi="Calibri"/>
          <w:sz w:val="19"/>
          <w:szCs w:val="19"/>
        </w:rPr>
        <w:t xml:space="preserve">Restrictions on hiring the other side’s people should be limited in time and to individuals materially involved in the services. Broad restraints across an entire organisation are harder to justify and harder to enforce.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Licensing requirements, freelance and work permit rules, VAT invoice particulars, data protection regimes and court jurisdiction all change — confirm the supplier’s licensing position before engagement and take legal advice on any material services agreement.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2026-08-23T16:28:34.229Z</dcterms:created>
  <dcterms:modified xsi:type="dcterms:W3CDTF">2026-08-23T16:28:34.229Z</dcterms:modified>
</cp:coreProperties>
</file>

<file path=docProps/custom.xml><?xml version="1.0" encoding="utf-8"?>
<Properties xmlns="http://schemas.openxmlformats.org/officeDocument/2006/custom-properties" xmlns:vt="http://schemas.openxmlformats.org/officeDocument/2006/docPropsVTypes"/>
</file>