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SECONDMENT</w:t>
      </w:r>
    </w:p>
    <w:p>
      <w:pPr>
        <w:spacing w:after="260"/>
        <w:jc w:val="center"/>
      </w:pPr>
      <w:r>
        <w:rPr>
          <w:rFonts w:ascii="Calibri" w:cs="Calibri" w:eastAsia="Calibri" w:hAnsi="Calibri"/>
          <w:i/>
          <w:iCs/>
          <w:color w:val="6E7480"/>
          <w:sz w:val="19"/>
          <w:szCs w:val="19"/>
        </w:rPr>
        <w:t xml:space="preserve">Lending an employee to another entity</w:t>
      </w:r>
    </w:p>
    <w:p>
      <w:pPr>
        <w:spacing w:after="180" w:before="0" w:line="276"/>
        <w:jc w:val="both"/>
      </w:pPr>
      <w:r>
        <w:rPr>
          <w:rFonts w:ascii="Calibri" w:cs="Calibri" w:eastAsia="Calibri" w:hAnsi="Calibri"/>
          <w:i/>
          <w:iCs/>
          <w:color w:val="6E7480"/>
          <w:sz w:val="21"/>
          <w:szCs w:val="21"/>
        </w:rPr>
        <w:t xml:space="preserve">The reason this document exists: a person employed by one UAE entity, working day to day at another, is </w:t>
      </w:r>
      <w:r>
        <w:rPr>
          <w:rFonts w:ascii="Calibri" w:cs="Calibri" w:eastAsia="Calibri" w:hAnsi="Calibri"/>
          <w:b/>
          <w:bCs/>
          <w:i/>
          <w:iCs/>
          <w:color w:val="6E7480"/>
          <w:sz w:val="21"/>
          <w:szCs w:val="21"/>
        </w:rPr>
        <w:t xml:space="preserve">working on the wrong permit</w:t>
      </w:r>
      <w:r>
        <w:rPr>
          <w:rFonts w:ascii="Calibri" w:cs="Calibri" w:eastAsia="Calibri" w:hAnsi="Calibri"/>
          <w:i/>
          <w:iCs/>
          <w:color w:val="6E7480"/>
          <w:sz w:val="21"/>
          <w:szCs w:val="21"/>
        </w:rPr>
        <w:t xml:space="preserve"> unless the arrangement is properly structured. It is convenient, extremely common within groups, and it is a contravention.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Seconder</w:t>
            </w:r>
            <w:r>
              <w:rPr>
                <w:rFonts w:ascii="Calibri" w:cs="Calibri" w:eastAsia="Calibri" w:hAnsi="Calibri"/>
                <w:sz w:val="19"/>
                <w:szCs w:val="19"/>
              </w:rPr>
              <w:t xml:space="preserve"> (the 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[jurisdiction]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Host</w:t>
            </w:r>
            <w:r>
              <w:rPr>
                <w:rFonts w:ascii="Calibri" w:cs="Calibri" w:eastAsia="Calibri" w:hAnsi="Calibri"/>
                <w:sz w:val="19"/>
                <w:szCs w:val="19"/>
              </w:rPr>
              <w:t xml:space="preserve"> (where the work is done)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[jurisdiction]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Permit held with</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Seconder]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Permit position confirmed with the authority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see Section 1</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Role at the Host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 AND DUTIES]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Period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location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Charge to the Host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w:t>
            </w:r>
            <w:r>
              <w:rPr>
                <w:rFonts w:ascii="Calibri" w:cs="Calibri" w:eastAsia="Calibri" w:hAnsi="Calibri"/>
                <w:b/>
                <w:bCs/>
                <w:sz w:val="19"/>
                <w:szCs w:val="19"/>
              </w:rPr>
              <w:t xml:space="preserve">[month]</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Employment continues with</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Seconder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Gratuity accrual continues with</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Seconder</w:t>
            </w:r>
          </w:p>
        </w:tc>
      </w:tr>
    </w:tbl>
    <w:p>
      <w:pPr>
        <w:spacing w:after="180"/>
      </w:pPr>
    </w:p>
    <w:p>
      <w:pPr>
        <w:keepNext/>
        <w:spacing w:after="120" w:before="280"/>
        <w:outlineLvl w:val="0"/>
      </w:pPr>
      <w:r>
        <w:rPr>
          <w:rFonts w:ascii="Calibri" w:cs="Calibri" w:eastAsia="Calibri" w:hAnsi="Calibri"/>
          <w:b/>
          <w:bCs/>
          <w:color w:val="14161B"/>
          <w:sz w:val="22"/>
          <w:szCs w:val="22"/>
        </w:rPr>
        <w:t xml:space="preserve">1. CONFIRM THE PERMIT POSITION FIRST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590"/>
        <w:gridCol w:w="3567"/>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w:t>
            </w:r>
          </w:p>
        </w:tc>
        <w:tc>
          <w:tcPr>
            <w:tcW w:type="dxa" w:w="35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Does the authority permit this arrangement without a separate permit?</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 — confirm in writing]</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the two entities sit in the same jurisdiction?</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they differ — mainland to free zone, or the reverse?</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a temporary or secondment work permit available and required?</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the Host’s licence cover the work being performed?</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the employee’s permit job title match the work at the Host?</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this genuinely temporary, or a transfer in substance?</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Conclusion</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[Secondment permissible / a permit is required / transfer the employment]</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Do not assume a secondment is permissible because both entities are in the same group.</w:t>
      </w:r>
      <w:r>
        <w:rPr>
          <w:rFonts w:ascii="Calibri" w:cs="Calibri" w:eastAsia="Calibri" w:hAnsi="Calibri"/>
          <w:sz w:val="21"/>
          <w:szCs w:val="21"/>
        </w:rPr>
        <w:t xml:space="preserve"> Group relationship is not a permit. Confirm the position with MOHRE or the relevant zone before the arrangement starts, and record the confirmation.</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Question 7 is the honest one. An arrangement described as a two-year secondment, where the person never returns, is a transfer dressed as a loan — and the permit, gratuity and settlement consequences of a transfer apply whatever the document says.</w:t>
      </w:r>
    </w:p>
    <w:p>
      <w:pPr>
        <w:keepNext/>
        <w:spacing w:after="120" w:before="280"/>
        <w:outlineLvl w:val="0"/>
      </w:pPr>
      <w:r>
        <w:rPr>
          <w:rFonts w:ascii="Calibri" w:cs="Calibri" w:eastAsia="Calibri" w:hAnsi="Calibri"/>
          <w:b/>
          <w:bCs/>
          <w:color w:val="14161B"/>
          <w:sz w:val="22"/>
          <w:szCs w:val="22"/>
        </w:rPr>
        <w:t xml:space="preserve">2. EMPLOYMENT CONTINUES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Employee </w:t>
      </w:r>
      <w:r>
        <w:rPr>
          <w:rFonts w:ascii="Calibri" w:cs="Calibri" w:eastAsia="Calibri" w:hAnsi="Calibri"/>
          <w:b/>
          <w:bCs/>
          <w:sz w:val="21"/>
          <w:szCs w:val="21"/>
        </w:rPr>
        <w:t xml:space="preserve">remains employed by the Seconder</w:t>
      </w:r>
      <w:r>
        <w:rPr>
          <w:rFonts w:ascii="Calibri" w:cs="Calibri" w:eastAsia="Calibri" w:hAnsi="Calibri"/>
          <w:sz w:val="21"/>
          <w:szCs w:val="21"/>
        </w:rPr>
        <w:t xml:space="preserve"> throughout. This agreement does not transfer the employment.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Seconder continues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pay salary through </w:t>
      </w:r>
      <w:r>
        <w:rPr>
          <w:rFonts w:ascii="Calibri" w:cs="Calibri" w:eastAsia="Calibri" w:hAnsi="Calibri"/>
          <w:b/>
          <w:bCs/>
          <w:sz w:val="21"/>
          <w:szCs w:val="21"/>
        </w:rPr>
        <w:t xml:space="preserve">WPS</w:t>
      </w:r>
      <w:r>
        <w:rPr>
          <w:rFonts w:ascii="Calibri" w:cs="Calibri" w:eastAsia="Calibri" w:hAnsi="Calibri"/>
          <w:sz w:val="21"/>
          <w:szCs w:val="21"/>
        </w:rPr>
        <w:t xml:space="preserve"> at the registered figure;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hold the work permit and sponsor the residence visa;</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provide </w:t>
      </w:r>
      <w:r>
        <w:rPr>
          <w:rFonts w:ascii="Calibri" w:cs="Calibri" w:eastAsia="Calibri" w:hAnsi="Calibri"/>
          <w:b/>
          <w:bCs/>
          <w:sz w:val="21"/>
          <w:szCs w:val="21"/>
        </w:rPr>
        <w:t xml:space="preserve">health insurance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accrue end-of-service gratuity</w:t>
      </w:r>
      <w:r>
        <w:rPr>
          <w:rFonts w:ascii="Calibri" w:cs="Calibri" w:eastAsia="Calibri" w:hAnsi="Calibri"/>
          <w:sz w:val="21"/>
          <w:szCs w:val="21"/>
        </w:rPr>
        <w:t xml:space="preserve"> — or make scheme contributions where DIFC or ADGM;</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administer leave, sickness and statutory entitlements;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handle discipline, grievance and termination.</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Continuity of service is unbroken. The secondment period counts towards service for all purposes.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The Host does not employ the Employee</w:t>
      </w:r>
      <w:r>
        <w:rPr>
          <w:rFonts w:ascii="Calibri" w:cs="Calibri" w:eastAsia="Calibri" w:hAnsi="Calibri"/>
          <w:sz w:val="21"/>
          <w:szCs w:val="21"/>
        </w:rPr>
        <w:t xml:space="preserve"> and shall not purport to vary their terms, discipline them, or terminate their employment.</w:t>
      </w:r>
    </w:p>
    <w:p>
      <w:pPr>
        <w:keepNext/>
        <w:spacing w:after="120" w:before="280"/>
        <w:outlineLvl w:val="0"/>
      </w:pPr>
      <w:r>
        <w:rPr>
          <w:rFonts w:ascii="Calibri" w:cs="Calibri" w:eastAsia="Calibri" w:hAnsi="Calibri"/>
          <w:b/>
          <w:bCs/>
          <w:color w:val="14161B"/>
          <w:sz w:val="22"/>
          <w:szCs w:val="22"/>
        </w:rPr>
        <w:t xml:space="preserve">3. DAY TO DAY</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Employee performs the duties in the header at the Host’s premises, under the day-to-day direction of </w:t>
      </w:r>
      <w:r>
        <w:rPr>
          <w:rFonts w:ascii="Calibri" w:cs="Calibri" w:eastAsia="Calibri" w:hAnsi="Calibri"/>
          <w:b/>
          <w:bCs/>
          <w:sz w:val="21"/>
          <w:szCs w:val="21"/>
        </w:rPr>
        <w:t xml:space="preserve">[NAME]</w:t>
      </w:r>
      <w:r>
        <w:rPr>
          <w:rFonts w:ascii="Calibri" w:cs="Calibri" w:eastAsia="Calibri" w:hAnsi="Calibri"/>
          <w:sz w:val="21"/>
          <w:szCs w:val="21"/>
        </w:rPr>
        <w:t xml:space="preserve"> at the Host.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Host shall provide a safe working environment, equipment, induction and any training the role requires, and shall comply with health and safety obligations in respect of the Employee.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Host shall report to the Seconder any accident, injury, absence, performance concern or conduct issue </w:t>
      </w:r>
      <w:r>
        <w:rPr>
          <w:rFonts w:ascii="Calibri" w:cs="Calibri" w:eastAsia="Calibri" w:hAnsi="Calibri"/>
          <w:b/>
          <w:bCs/>
          <w:sz w:val="21"/>
          <w:szCs w:val="21"/>
        </w:rPr>
        <w:t xml:space="preserve">promptly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Where the Host has a concern about the Employee, it raises it with the Seconder. </w:t>
      </w:r>
      <w:r>
        <w:rPr>
          <w:rFonts w:ascii="Calibri" w:cs="Calibri" w:eastAsia="Calibri" w:hAnsi="Calibri"/>
          <w:b/>
          <w:bCs/>
          <w:sz w:val="21"/>
          <w:szCs w:val="21"/>
        </w:rPr>
        <w:t xml:space="preserve">The Host shall not take disciplinary action.</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The Employee complies with the Host’s site rules, security and IT policies while at its premises.</w:t>
      </w:r>
    </w:p>
    <w:p>
      <w:pPr>
        <w:keepNext/>
        <w:spacing w:after="120" w:before="280"/>
        <w:outlineLvl w:val="0"/>
      </w:pPr>
      <w:r>
        <w:rPr>
          <w:rFonts w:ascii="Calibri" w:cs="Calibri" w:eastAsia="Calibri" w:hAnsi="Calibri"/>
          <w:b/>
          <w:bCs/>
          <w:color w:val="14161B"/>
          <w:sz w:val="22"/>
          <w:szCs w:val="22"/>
        </w:rPr>
        <w:t xml:space="preserve">4. CHARGING AND TAX</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Host shall pay the Seconder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per </w:t>
      </w:r>
      <w:r>
        <w:rPr>
          <w:rFonts w:ascii="Calibri" w:cs="Calibri" w:eastAsia="Calibri" w:hAnsi="Calibri"/>
          <w:b/>
          <w:bCs/>
          <w:sz w:val="21"/>
          <w:szCs w:val="21"/>
        </w:rPr>
        <w:t xml:space="preserve">[month]</w:t>
      </w:r>
      <w:r>
        <w:rPr>
          <w:rFonts w:ascii="Calibri" w:cs="Calibri" w:eastAsia="Calibri" w:hAnsi="Calibri"/>
          <w:sz w:val="21"/>
          <w:szCs w:val="21"/>
        </w:rPr>
        <w:t xml:space="preserve">, </w:t>
      </w:r>
      <w:r>
        <w:rPr>
          <w:rFonts w:ascii="Calibri" w:cs="Calibri" w:eastAsia="Calibri" w:hAnsi="Calibri"/>
          <w:b/>
          <w:bCs/>
          <w:sz w:val="21"/>
          <w:szCs w:val="21"/>
        </w:rPr>
        <w:t xml:space="preserve">[being salary, benefits, employer costs and a mark-up of ______ per cent]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This is a related party transaction where the entities are connected.</w:t>
      </w:r>
      <w:r>
        <w:rPr>
          <w:rFonts w:ascii="Calibri" w:cs="Calibri" w:eastAsia="Calibri" w:hAnsi="Calibri"/>
          <w:sz w:val="21"/>
          <w:szCs w:val="21"/>
        </w:rPr>
        <w:t xml:space="preserve"> The charge must be on an arm’s length basis with supporting documentation.</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VAT</w:t>
      </w:r>
      <w:r>
        <w:rPr>
          <w:rFonts w:ascii="Calibri" w:cs="Calibri" w:eastAsia="Calibri" w:hAnsi="Calibri"/>
          <w:sz w:val="21"/>
          <w:szCs w:val="21"/>
        </w:rPr>
        <w:t xml:space="preserve"> applies to the recharge where the Seconder is registered, and a valid tax invoice must be issued.</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[Where the Host is a free zone entity claiming QFZP status]</w:t>
      </w:r>
      <w:r>
        <w:rPr>
          <w:rFonts w:ascii="Calibri" w:cs="Calibri" w:eastAsia="Calibri" w:hAnsi="Calibri"/>
          <w:sz w:val="21"/>
          <w:szCs w:val="21"/>
        </w:rPr>
        <w:t xml:space="preserve"> Consider whether this recharge is qualifying or non-qualifying revenue for the Seconder, and whether it affects the de minimis.</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i/>
          <w:iCs/>
          <w:sz w:val="21"/>
          <w:szCs w:val="21"/>
        </w:rPr>
        <w:t xml:space="preserve">A recharge at bare cost between connected entities is the position most often adjusted. Determine the cost base and the mark-up separately, document both, and keep evidence that the person actually worked for the Host.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CONFIDENTIALITY, IP AND DATA</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Employee’s confidentiality obligations to the Seconder continue, and the Employee shall keep the Host’s information confidential.</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Intellectual property created by the Employee during the secondment belongs to </w:t>
      </w:r>
      <w:r>
        <w:rPr>
          <w:rFonts w:ascii="Calibri" w:cs="Calibri" w:eastAsia="Calibri" w:hAnsi="Calibri"/>
          <w:b/>
          <w:bCs/>
          <w:sz w:val="21"/>
          <w:szCs w:val="21"/>
        </w:rPr>
        <w:t xml:space="preserve">[the Host / the Seconder]</w:t>
      </w:r>
      <w:r>
        <w:rPr>
          <w:rFonts w:ascii="Calibri" w:cs="Calibri" w:eastAsia="Calibri" w:hAnsi="Calibri"/>
          <w:b/>
          <w:bCs/>
          <w:sz w:val="21"/>
          <w:szCs w:val="21"/>
        </w:rPr>
        <w:t xml:space="preserve">.</w:t>
      </w:r>
      <w:r>
        <w:rPr>
          <w:rFonts w:ascii="Calibri" w:cs="Calibri" w:eastAsia="Calibri" w:hAnsi="Calibri"/>
          <w:sz w:val="21"/>
          <w:szCs w:val="21"/>
        </w:rPr>
        <w:t xml:space="preserve"> </w:t>
      </w:r>
      <w:r>
        <w:rPr>
          <w:rFonts w:ascii="Calibri" w:cs="Calibri" w:eastAsia="Calibri" w:hAnsi="Calibri"/>
          <w:i/>
          <w:iCs/>
          <w:sz w:val="21"/>
          <w:szCs w:val="21"/>
        </w:rPr>
        <w:t xml:space="preserve">(Specify — this is the clause most often omitted and it decides ownership of work that may be valuable.)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Seconder shall procure the Employee’s assignment of that intellectual property to the party stated.</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Where the Employee accesses personal data at the Host, the parties shall identify </w:t>
      </w:r>
      <w:r>
        <w:rPr>
          <w:rFonts w:ascii="Calibri" w:cs="Calibri" w:eastAsia="Calibri" w:hAnsi="Calibri"/>
          <w:b/>
          <w:bCs/>
          <w:sz w:val="21"/>
          <w:szCs w:val="21"/>
        </w:rPr>
        <w:t xml:space="preserve">which data protection regime applies to each entity</w:t>
      </w:r>
      <w:r>
        <w:rPr>
          <w:rFonts w:ascii="Calibri" w:cs="Calibri" w:eastAsia="Calibri" w:hAnsi="Calibri"/>
          <w:sz w:val="21"/>
          <w:szCs w:val="21"/>
        </w:rPr>
        <w:t xml:space="preserve"> and put appropriate arrangements in place.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i/>
          <w:iCs/>
          <w:sz w:val="21"/>
          <w:szCs w:val="21"/>
        </w:rPr>
        <w:t xml:space="preserve">Where the Seconder is in DIFC or ADGM and the Host on the mainland, personal data reaching the Employee at the Host may be a restricted transfer. The employee moving does not make the data movement domestic.</w:t>
      </w:r>
    </w:p>
    <w:p>
      <w:pPr>
        <w:keepNext/>
        <w:spacing w:after="120" w:before="280"/>
        <w:outlineLvl w:val="0"/>
      </w:pPr>
      <w:r>
        <w:rPr>
          <w:rFonts w:ascii="Calibri" w:cs="Calibri" w:eastAsia="Calibri" w:hAnsi="Calibri"/>
          <w:b/>
          <w:bCs/>
          <w:color w:val="14161B"/>
          <w:sz w:val="22"/>
          <w:szCs w:val="22"/>
        </w:rPr>
        <w:t xml:space="preserve">6. ENDING THE SECONDMENT</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secondment ends on the date stated, or earlier on </w:t>
      </w:r>
      <w:r>
        <w:rPr>
          <w:rFonts w:ascii="Calibri" w:cs="Calibri" w:eastAsia="Calibri" w:hAnsi="Calibri"/>
          <w:b/>
          <w:bCs/>
          <w:sz w:val="21"/>
          <w:szCs w:val="21"/>
        </w:rPr>
        <w:t xml:space="preserve">[30]</w:t>
      </w:r>
      <w:r>
        <w:rPr>
          <w:rFonts w:ascii="Calibri" w:cs="Calibri" w:eastAsia="Calibri" w:hAnsi="Calibri"/>
          <w:sz w:val="21"/>
          <w:szCs w:val="21"/>
        </w:rPr>
        <w:t xml:space="preserve"> days notice from either party, or immediately where the Employee’s employment ends.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On ending, the Employee returns to the Seconder in a role consistent with their contract.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Host shall return all property, revoke access, and confirm no Host data remains on any device the Employee retains.</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Where the Employee is to remain with the Host permanently, that is a transfer, not an extension.</w:t>
      </w:r>
      <w:r>
        <w:rPr>
          <w:rFonts w:ascii="Calibri" w:cs="Calibri" w:eastAsia="Calibri" w:hAnsi="Calibri"/>
          <w:sz w:val="21"/>
          <w:szCs w:val="21"/>
        </w:rPr>
        <w:t xml:space="preserve"> The employment with the Seconder ends, gratuity or the scheme benefit is settled </w:t>
      </w:r>
      <w:r>
        <w:rPr>
          <w:rFonts w:ascii="Calibri" w:cs="Calibri" w:eastAsia="Calibri" w:hAnsi="Calibri"/>
          <w:b/>
          <w:bCs/>
          <w:sz w:val="21"/>
          <w:szCs w:val="21"/>
        </w:rPr>
        <w:t xml:space="preserve">within 14 days</w:t>
      </w:r>
      <w:r>
        <w:rPr>
          <w:rFonts w:ascii="Calibri" w:cs="Calibri" w:eastAsia="Calibri" w:hAnsi="Calibri"/>
          <w:sz w:val="21"/>
          <w:szCs w:val="21"/>
        </w:rPr>
        <w:t xml:space="preserve">, and new employment begins with the Host on its own permit.</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The Host indemnifies the Seconder against any claim arising from the Host’s acts or omissions during the secondment, including any claim that the Host was the Employee’s employer.</w:t>
      </w:r>
    </w:p>
    <w:p>
      <w:pPr>
        <w:keepNext/>
        <w:spacing w:after="120" w:before="280"/>
        <w:outlineLvl w:val="0"/>
      </w:pPr>
      <w:r>
        <w:rPr>
          <w:rFonts w:ascii="Calibri" w:cs="Calibri" w:eastAsia="Calibri" w:hAnsi="Calibri"/>
          <w:b/>
          <w:bCs/>
          <w:color w:val="14161B"/>
          <w:sz w:val="22"/>
          <w:szCs w:val="22"/>
        </w:rPr>
        <w:t xml:space="preserve">7.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Permit position confirmed in writing with the authority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Host licence covers the work being performed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informed and agreeing in writing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Duties, location, period and reporting line documented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confirmed as continuing with the Seconder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WPS, insurance and gratuity accrual continuing unchanged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Recharge set on an arm’s length basis and documented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VAT treatment and tax invoicing agreed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IP ownership specified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protection regimes identified and arrangements made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Host health and safety responsibility confirmed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End date diarised, with a decision point before it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Seconder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Host</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120"/>
      </w:pPr>
    </w:p>
    <w:p>
      <w:pPr>
        <w:spacing w:after="140" w:before="0" w:line="276"/>
        <w:jc w:val="both"/>
      </w:pPr>
      <w:r>
        <w:rPr>
          <w:rFonts w:ascii="Calibri" w:cs="Calibri" w:eastAsia="Calibri" w:hAnsi="Calibri"/>
          <w:b/>
          <w:bCs/>
          <w:sz w:val="21"/>
          <w:szCs w:val="21"/>
        </w:rPr>
        <w:t xml:space="preserve">Employee acknowledgement.</w:t>
      </w:r>
      <w:r>
        <w:rPr>
          <w:rFonts w:ascii="Calibri" w:cs="Calibri" w:eastAsia="Calibri" w:hAnsi="Calibri"/>
          <w:sz w:val="21"/>
          <w:szCs w:val="21"/>
        </w:rPr>
        <w:t xml:space="preserve"> I confirm I have been told about this secondment, that my employment continues with the Seconder, and that my terms are unchanged.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Group relationship is not a permit</w:t>
      </w:r>
    </w:p>
    <w:p>
      <w:pPr>
        <w:spacing w:after="60" w:line="264"/>
        <w:jc w:val="both"/>
      </w:pPr>
      <w:r>
        <w:rPr>
          <w:rFonts w:ascii="Calibri" w:cs="Calibri" w:eastAsia="Calibri" w:hAnsi="Calibri"/>
          <w:sz w:val="19"/>
          <w:szCs w:val="19"/>
        </w:rPr>
        <w:t xml:space="preserve">A person employed by one entity working day to day at another is working on the wrong permit unless the arrangement is properly structured. Being in the same group changes nothing. Confirm the position with MOHRE or the relevant zone in writing before the arrangement starts.</w:t>
      </w:r>
    </w:p>
    <w:p>
      <w:pPr>
        <w:keepNext/>
        <w:spacing w:after="40" w:before="140"/>
      </w:pPr>
      <w:r>
        <w:rPr>
          <w:rFonts w:ascii="Calibri" w:cs="Calibri" w:eastAsia="Calibri" w:hAnsi="Calibri"/>
          <w:b/>
          <w:bCs/>
          <w:color w:val="14161B"/>
          <w:sz w:val="20"/>
          <w:szCs w:val="20"/>
        </w:rPr>
        <w:t xml:space="preserve">Be honest about whether it is really a transfer</w:t>
      </w:r>
    </w:p>
    <w:p>
      <w:pPr>
        <w:spacing w:after="60" w:line="264"/>
        <w:jc w:val="both"/>
      </w:pPr>
      <w:r>
        <w:rPr>
          <w:rFonts w:ascii="Calibri" w:cs="Calibri" w:eastAsia="Calibri" w:hAnsi="Calibri"/>
          <w:sz w:val="19"/>
          <w:szCs w:val="19"/>
        </w:rPr>
        <w:t xml:space="preserve">An arrangement described as a long secondment, where the person never returns, is a transfer dressed as a loan. The permit, gratuity and settlement consequences of a transfer apply whatever the document says. Structure it as what it is.</w:t>
      </w:r>
    </w:p>
    <w:p>
      <w:pPr>
        <w:keepNext/>
        <w:spacing w:after="40" w:before="140"/>
      </w:pPr>
      <w:r>
        <w:rPr>
          <w:rFonts w:ascii="Calibri" w:cs="Calibri" w:eastAsia="Calibri" w:hAnsi="Calibri"/>
          <w:b/>
          <w:bCs/>
          <w:color w:val="14161B"/>
          <w:sz w:val="20"/>
          <w:szCs w:val="20"/>
        </w:rPr>
        <w:t xml:space="preserve">A permanent move is a termination and rehire</w:t>
      </w:r>
    </w:p>
    <w:p>
      <w:pPr>
        <w:spacing w:after="60" w:line="264"/>
        <w:jc w:val="both"/>
      </w:pPr>
      <w:r>
        <w:rPr>
          <w:rFonts w:ascii="Calibri" w:cs="Calibri" w:eastAsia="Calibri" w:hAnsi="Calibri"/>
          <w:sz w:val="19"/>
          <w:szCs w:val="19"/>
        </w:rPr>
        <w:t xml:space="preserve">Where the employee is to stay with the Host, the employment with the Seconder ends: gratuity crystallises or the scheme benefit is dealt with, entitlements are due within 14 days, and new employment begins on the Host’s permit. Groups treat this as an extension and leave a benefit unsettled.</w:t>
      </w:r>
    </w:p>
    <w:p>
      <w:pPr>
        <w:keepNext/>
        <w:spacing w:after="40" w:before="140"/>
      </w:pPr>
      <w:r>
        <w:rPr>
          <w:rFonts w:ascii="Calibri" w:cs="Calibri" w:eastAsia="Calibri" w:hAnsi="Calibri"/>
          <w:b/>
          <w:bCs/>
          <w:color w:val="14161B"/>
          <w:sz w:val="20"/>
          <w:szCs w:val="20"/>
        </w:rPr>
        <w:t xml:space="preserve">The Host must not act like the employer</w:t>
      </w:r>
    </w:p>
    <w:p>
      <w:pPr>
        <w:spacing w:after="60" w:line="264"/>
        <w:jc w:val="both"/>
      </w:pPr>
      <w:r>
        <w:rPr>
          <w:rFonts w:ascii="Calibri" w:cs="Calibri" w:eastAsia="Calibri" w:hAnsi="Calibri"/>
          <w:sz w:val="19"/>
          <w:szCs w:val="19"/>
        </w:rPr>
        <w:t xml:space="preserve">Directing day-to-day work is one thing; varying terms, disciplining or dismissing is another. Where the Host does those, the arrangement starts to look like employment by the Host, which is precisely the exposure the document exists to avoid.</w:t>
      </w:r>
    </w:p>
    <w:p>
      <w:pPr>
        <w:keepNext/>
        <w:spacing w:after="40" w:before="140"/>
      </w:pPr>
      <w:r>
        <w:rPr>
          <w:rFonts w:ascii="Calibri" w:cs="Calibri" w:eastAsia="Calibri" w:hAnsi="Calibri"/>
          <w:b/>
          <w:bCs/>
          <w:color w:val="14161B"/>
          <w:sz w:val="20"/>
          <w:szCs w:val="20"/>
        </w:rPr>
        <w:t xml:space="preserve">Keep everything running with the Seconder</w:t>
      </w:r>
    </w:p>
    <w:p>
      <w:pPr>
        <w:spacing w:after="60" w:line="264"/>
        <w:jc w:val="both"/>
      </w:pPr>
      <w:r>
        <w:rPr>
          <w:rFonts w:ascii="Calibri" w:cs="Calibri" w:eastAsia="Calibri" w:hAnsi="Calibri"/>
          <w:sz w:val="19"/>
          <w:szCs w:val="19"/>
        </w:rPr>
        <w:t xml:space="preserve">WPS payment at the registered salary, health insurance, gratuity accrual or scheme contributions, leave and statutory entitlements all continue with the employer. Any interruption is both a breach and evidence that the employment moved.</w:t>
      </w:r>
    </w:p>
    <w:p>
      <w:pPr>
        <w:keepNext/>
        <w:spacing w:after="40" w:before="140"/>
      </w:pPr>
      <w:r>
        <w:rPr>
          <w:rFonts w:ascii="Calibri" w:cs="Calibri" w:eastAsia="Calibri" w:hAnsi="Calibri"/>
          <w:b/>
          <w:bCs/>
          <w:color w:val="14161B"/>
          <w:sz w:val="20"/>
          <w:szCs w:val="20"/>
        </w:rPr>
        <w:t xml:space="preserve">Specify who owns the IP</w:t>
      </w:r>
    </w:p>
    <w:p>
      <w:pPr>
        <w:spacing w:after="60" w:line="264"/>
        <w:jc w:val="both"/>
      </w:pPr>
      <w:r>
        <w:rPr>
          <w:rFonts w:ascii="Calibri" w:cs="Calibri" w:eastAsia="Calibri" w:hAnsi="Calibri"/>
          <w:sz w:val="19"/>
          <w:szCs w:val="19"/>
        </w:rPr>
        <w:t xml:space="preserve">Work created during a secondment is valuable and its ownership is the clause most often omitted. Decide whether it belongs to the Host or the Seconder, say so, and require the employee’s assignment to whichever is stated.</w:t>
      </w:r>
    </w:p>
    <w:p>
      <w:pPr>
        <w:keepNext/>
        <w:spacing w:after="40" w:before="140"/>
      </w:pPr>
      <w:r>
        <w:rPr>
          <w:rFonts w:ascii="Calibri" w:cs="Calibri" w:eastAsia="Calibri" w:hAnsi="Calibri"/>
          <w:b/>
          <w:bCs/>
          <w:color w:val="14161B"/>
          <w:sz w:val="20"/>
          <w:szCs w:val="20"/>
        </w:rPr>
        <w:t xml:space="preserve">The recharge is a related party transaction</w:t>
      </w:r>
    </w:p>
    <w:p>
      <w:pPr>
        <w:spacing w:after="60" w:line="264"/>
        <w:jc w:val="both"/>
      </w:pPr>
      <w:r>
        <w:rPr>
          <w:rFonts w:ascii="Calibri" w:cs="Calibri" w:eastAsia="Calibri" w:hAnsi="Calibri"/>
          <w:sz w:val="19"/>
          <w:szCs w:val="19"/>
        </w:rPr>
        <w:t xml:space="preserve">Between connected entities it must be arm’s length with documentation, and a recharge at bare cost is the position most commonly adjusted. Determine the cost base and mark-up separately and keep evidence the person actually worked for the Host.</w:t>
      </w:r>
    </w:p>
    <w:p>
      <w:pPr>
        <w:keepNext/>
        <w:spacing w:after="40" w:before="140"/>
      </w:pPr>
      <w:r>
        <w:rPr>
          <w:rFonts w:ascii="Calibri" w:cs="Calibri" w:eastAsia="Calibri" w:hAnsi="Calibri"/>
          <w:b/>
          <w:bCs/>
          <w:color w:val="14161B"/>
          <w:sz w:val="20"/>
          <w:szCs w:val="20"/>
        </w:rPr>
        <w:t xml:space="preserve">Watch the VAT and free zone consequences</w:t>
      </w:r>
    </w:p>
    <w:p>
      <w:pPr>
        <w:spacing w:after="60" w:line="264"/>
        <w:jc w:val="both"/>
      </w:pPr>
      <w:r>
        <w:rPr>
          <w:rFonts w:ascii="Calibri" w:cs="Calibri" w:eastAsia="Calibri" w:hAnsi="Calibri"/>
          <w:sz w:val="19"/>
          <w:szCs w:val="19"/>
        </w:rPr>
        <w:t xml:space="preserve">The recharge attracts VAT where the Seconder is registered, and for a free zone Seconder claiming the 0% rate, a recharge to a mainland Host is non-qualifying revenue counting against the de minimis. A secondment can quietly erode a QFZP position.</w:t>
      </w:r>
    </w:p>
    <w:p>
      <w:pPr>
        <w:keepNext/>
        <w:spacing w:after="40" w:before="140"/>
      </w:pPr>
      <w:r>
        <w:rPr>
          <w:rFonts w:ascii="Calibri" w:cs="Calibri" w:eastAsia="Calibri" w:hAnsi="Calibri"/>
          <w:b/>
          <w:bCs/>
          <w:color w:val="14161B"/>
          <w:sz w:val="20"/>
          <w:szCs w:val="20"/>
        </w:rPr>
        <w:t xml:space="preserve">Data protection follows the entities, not the person</w:t>
      </w:r>
    </w:p>
    <w:p>
      <w:pPr>
        <w:spacing w:after="60" w:line="264"/>
        <w:jc w:val="both"/>
      </w:pPr>
      <w:r>
        <w:rPr>
          <w:rFonts w:ascii="Calibri" w:cs="Calibri" w:eastAsia="Calibri" w:hAnsi="Calibri"/>
          <w:sz w:val="19"/>
          <w:szCs w:val="19"/>
        </w:rPr>
        <w:t xml:space="preserve">Where the Seconder is in DIFC or ADGM and the Host on the mainland, personal data reaching the employee at the Host may be a restricted transfer. The employee physically moving does not make the data movement domestic.</w:t>
      </w:r>
    </w:p>
    <w:p>
      <w:pPr>
        <w:keepNext/>
        <w:spacing w:after="40" w:before="140"/>
      </w:pPr>
      <w:r>
        <w:rPr>
          <w:rFonts w:ascii="Calibri" w:cs="Calibri" w:eastAsia="Calibri" w:hAnsi="Calibri"/>
          <w:b/>
          <w:bCs/>
          <w:color w:val="14161B"/>
          <w:sz w:val="20"/>
          <w:szCs w:val="20"/>
        </w:rPr>
        <w:t xml:space="preserve">Health and safety sits with the Host</w:t>
      </w:r>
    </w:p>
    <w:p>
      <w:pPr>
        <w:spacing w:after="60" w:line="264"/>
        <w:jc w:val="both"/>
      </w:pPr>
      <w:r>
        <w:rPr>
          <w:rFonts w:ascii="Calibri" w:cs="Calibri" w:eastAsia="Calibri" w:hAnsi="Calibri"/>
          <w:sz w:val="19"/>
          <w:szCs w:val="19"/>
        </w:rPr>
        <w:t xml:space="preserve">The Host controls the premises and the work, so it bears practical responsibility for a safe environment, induction and equipment. Where the work is outdoors, the midday ban applies at the Host’s site.</w:t>
      </w:r>
    </w:p>
    <w:p>
      <w:pPr>
        <w:keepNext/>
        <w:spacing w:after="40" w:before="140"/>
      </w:pPr>
      <w:r>
        <w:rPr>
          <w:rFonts w:ascii="Calibri" w:cs="Calibri" w:eastAsia="Calibri" w:hAnsi="Calibri"/>
          <w:b/>
          <w:bCs/>
          <w:color w:val="14161B"/>
          <w:sz w:val="20"/>
          <w:szCs w:val="20"/>
        </w:rPr>
        <w:t xml:space="preserve">Tell the employee and get their agreement</w:t>
      </w:r>
    </w:p>
    <w:p>
      <w:pPr>
        <w:spacing w:after="60" w:line="264"/>
        <w:jc w:val="both"/>
      </w:pPr>
      <w:r>
        <w:rPr>
          <w:rFonts w:ascii="Calibri" w:cs="Calibri" w:eastAsia="Calibri" w:hAnsi="Calibri"/>
          <w:sz w:val="19"/>
          <w:szCs w:val="19"/>
        </w:rPr>
        <w:t xml:space="preserve">A secondment changes where someone works and who directs them. Doing it without their written agreement invites a grievance and undermines the argument that terms were unchanged.</w:t>
      </w:r>
    </w:p>
    <w:p>
      <w:pPr>
        <w:keepNext/>
        <w:spacing w:after="40" w:before="140"/>
      </w:pPr>
      <w:r>
        <w:rPr>
          <w:rFonts w:ascii="Calibri" w:cs="Calibri" w:eastAsia="Calibri" w:hAnsi="Calibri"/>
          <w:b/>
          <w:bCs/>
          <w:color w:val="14161B"/>
          <w:sz w:val="20"/>
          <w:szCs w:val="20"/>
        </w:rPr>
        <w:t xml:space="preserve">Report incidents to the Seconder promptly</w:t>
      </w:r>
    </w:p>
    <w:p>
      <w:pPr>
        <w:spacing w:after="60" w:line="264"/>
        <w:jc w:val="both"/>
      </w:pPr>
      <w:r>
        <w:rPr>
          <w:rFonts w:ascii="Calibri" w:cs="Calibri" w:eastAsia="Calibri" w:hAnsi="Calibri"/>
          <w:sz w:val="19"/>
          <w:szCs w:val="19"/>
        </w:rPr>
        <w:t xml:space="preserve">The Host sees the accident, the absence or the conduct issue; the Seconder is the employer who must act on it. Without a reporting obligation, the employer learns of problems late and cannot respond properly.</w:t>
      </w:r>
    </w:p>
    <w:p>
      <w:pPr>
        <w:keepNext/>
        <w:spacing w:after="40" w:before="140"/>
      </w:pPr>
      <w:r>
        <w:rPr>
          <w:rFonts w:ascii="Calibri" w:cs="Calibri" w:eastAsia="Calibri" w:hAnsi="Calibri"/>
          <w:b/>
          <w:bCs/>
          <w:color w:val="14161B"/>
          <w:sz w:val="20"/>
          <w:szCs w:val="20"/>
        </w:rPr>
        <w:t xml:space="preserve">Diarise a decision point before the end date</w:t>
      </w:r>
    </w:p>
    <w:p>
      <w:pPr>
        <w:spacing w:after="60" w:line="264"/>
        <w:jc w:val="both"/>
      </w:pPr>
      <w:r>
        <w:rPr>
          <w:rFonts w:ascii="Calibri" w:cs="Calibri" w:eastAsia="Calibri" w:hAnsi="Calibri"/>
          <w:sz w:val="19"/>
          <w:szCs w:val="19"/>
        </w:rPr>
        <w:t xml:space="preserve">Secondments drift into permanence by inertia. Set a date before expiry to decide: return, extend formally, or transfer the employment properly. Silence produces the worst of the three.</w:t>
      </w:r>
    </w:p>
    <w:p>
      <w:pPr>
        <w:keepNext/>
        <w:spacing w:after="40" w:before="140"/>
      </w:pPr>
      <w:r>
        <w:rPr>
          <w:rFonts w:ascii="Calibri" w:cs="Calibri" w:eastAsia="Calibri" w:hAnsi="Calibri"/>
          <w:b/>
          <w:bCs/>
          <w:color w:val="14161B"/>
          <w:sz w:val="20"/>
          <w:szCs w:val="20"/>
        </w:rPr>
        <w:t xml:space="preserve">Take the indemnity from the Host</w:t>
      </w:r>
    </w:p>
    <w:p>
      <w:pPr>
        <w:spacing w:after="60" w:line="264"/>
        <w:jc w:val="both"/>
      </w:pPr>
      <w:r>
        <w:rPr>
          <w:rFonts w:ascii="Calibri" w:cs="Calibri" w:eastAsia="Calibri" w:hAnsi="Calibri"/>
          <w:sz w:val="19"/>
          <w:szCs w:val="19"/>
        </w:rPr>
        <w:t xml:space="preserve">The Host directs the work and creates most of the risk during the secondment, including any claim that it was the real employer. Clause 6.5 puts that exposure where the control sits.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Work permit categories including any temporary or secondment permit, transfer procedures, transfer pricing and VAT rules and data protection regimes all change, and free zone, DIFC and ADGM positions differ — confirm with MOHRE or the relevant authority before any secondment.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2026-08-23T16:28:32.519Z</dcterms:created>
  <dcterms:modified xsi:type="dcterms:W3CDTF">2026-08-23T16:28:32.519Z</dcterms:modified>
</cp:coreProperties>
</file>

<file path=docProps/custom.xml><?xml version="1.0" encoding="utf-8"?>
<Properties xmlns="http://schemas.openxmlformats.org/officeDocument/2006/custom-properties" xmlns:vt="http://schemas.openxmlformats.org/officeDocument/2006/docPropsVTypes"/>
</file>