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RESPECT AT WORK</w:t>
      </w:r>
    </w:p>
    <w:p>
      <w:pPr>
        <w:spacing w:after="260"/>
        <w:jc w:val="center"/>
      </w:pPr>
      <w:r>
        <w:rPr>
          <w:rFonts w:ascii="Calibri" w:cs="Calibri" w:eastAsia="Calibri" w:hAnsi="Calibri"/>
          <w:i/>
          <w:iCs/>
          <w:color w:val="6E7480"/>
          <w:sz w:val="19"/>
          <w:szCs w:val="19"/>
        </w:rPr>
        <w:t xml:space="preserve">Anti-discrimination, anti-harassment and reporting</w:t>
      </w:r>
    </w:p>
    <w:p>
      <w:pPr>
        <w:spacing w:after="180" w:before="0" w:line="276"/>
        <w:jc w:val="both"/>
      </w:pPr>
      <w:r>
        <w:rPr>
          <w:rFonts w:ascii="Calibri" w:cs="Calibri" w:eastAsia="Calibri" w:hAnsi="Calibri"/>
          <w:i/>
          <w:iCs/>
          <w:color w:val="6E7480"/>
          <w:sz w:val="21"/>
          <w:szCs w:val="21"/>
        </w:rPr>
        <w:t xml:space="preserve">Federal Decree-Law 33/2021 prohibits discrimination and harassment at work. What makes this policy work in the UAE is the workforce: many nationalities, many first languages, and many people whose residence depends on their job. </w:t>
      </w:r>
      <w:r>
        <w:rPr>
          <w:rFonts w:ascii="Calibri" w:cs="Calibri" w:eastAsia="Calibri" w:hAnsi="Calibri"/>
          <w:b/>
          <w:bCs/>
          <w:i/>
          <w:iCs/>
          <w:color w:val="6E7480"/>
          <w:sz w:val="21"/>
          <w:szCs w:val="21"/>
        </w:rPr>
        <w:t xml:space="preserve">The barrier to reporting is not policy — it is fear that complaining costs you your visa.</w:t>
      </w:r>
      <w:r>
        <w:rPr>
          <w:rFonts w:ascii="Calibri" w:cs="Calibri" w:eastAsia="Calibri" w:hAnsi="Calibri"/>
          <w:i/>
          <w:iCs/>
          <w:color w:val="6E7480"/>
          <w:sz w:val="21"/>
          <w:szCs w:val="21"/>
        </w:rPr>
        <w:t xml:space="preserve"> Address that directly or the policy does nothing.</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662"/>
        <w:gridCol w:w="5976"/>
      </w:tblGrid>
      <w:tr>
        <w:trPr>
          <w:cantSplit/>
          <w:tblHeader/>
        </w:trPr>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59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Employer</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licence </w:t>
            </w:r>
            <w:r>
              <w:rPr>
                <w:rFonts w:ascii="Calibri" w:cs="Calibri" w:eastAsia="Calibri" w:hAnsi="Calibri"/>
                <w:b/>
                <w:bCs/>
                <w:sz w:val="19"/>
                <w:szCs w:val="19"/>
              </w:rPr>
              <w:t xml:space="preserve">[NUMBER]</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Applies to</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All employees, contractors, agency staff and visitors</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Reporting contacts</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[EMAIL]</w:t>
            </w:r>
            <w:r>
              <w:rPr>
                <w:rFonts w:ascii="Calibri" w:cs="Calibri" w:eastAsia="Calibri" w:hAnsi="Calibri"/>
                <w:sz w:val="19"/>
                <w:szCs w:val="19"/>
              </w:rPr>
              <w:t xml:space="preserve">  </w:t>
            </w: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[EMAIL]</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Alternative contact outside the line manager</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[DESIGNATION]</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Languages available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[LIST]</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Approved by</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[DESIGNATION]</w:t>
            </w:r>
            <w:r>
              <w:rPr>
                <w:rFonts w:ascii="Calibri" w:cs="Calibri" w:eastAsia="Calibri" w:hAnsi="Calibri"/>
                <w:sz w:val="19"/>
                <w:szCs w:val="19"/>
              </w:rPr>
              <w:t xml:space="preserve">, on </w:t>
            </w:r>
            <w:r>
              <w:rPr>
                <w:rFonts w:ascii="Calibri" w:cs="Calibri" w:eastAsia="Calibri" w:hAnsi="Calibri"/>
                <w:b/>
                <w:bCs/>
                <w:sz w:val="19"/>
                <w:szCs w:val="19"/>
              </w:rPr>
              <w:t xml:space="preserve">[DATE]</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Version and date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w:t>
            </w:r>
            <w:r>
              <w:rPr>
                <w:rFonts w:ascii="Calibri" w:cs="Calibri" w:eastAsia="Calibri" w:hAnsi="Calibri"/>
                <w:b/>
                <w:bCs/>
                <w:sz w:val="19"/>
                <w:szCs w:val="19"/>
              </w:rPr>
              <w:t xml:space="preserve">[DATE]</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Review</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Annually</w:t>
            </w:r>
          </w:p>
        </w:tc>
      </w:tr>
    </w:tbl>
    <w:p>
      <w:pPr>
        <w:spacing w:after="180"/>
      </w:pPr>
    </w:p>
    <w:p>
      <w:pPr>
        <w:keepNext/>
        <w:spacing w:after="120" w:before="280"/>
        <w:outlineLvl w:val="0"/>
      </w:pPr>
      <w:r>
        <w:rPr>
          <w:rFonts w:ascii="Calibri" w:cs="Calibri" w:eastAsia="Calibri" w:hAnsi="Calibri"/>
          <w:b/>
          <w:bCs/>
          <w:color w:val="14161B"/>
          <w:sz w:val="22"/>
          <w:szCs w:val="22"/>
        </w:rPr>
        <w:t xml:space="preserve">1. WHAT IS NOT ACCEPTABLE</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The Company prohibits </w:t>
      </w:r>
      <w:r>
        <w:rPr>
          <w:rFonts w:ascii="Calibri" w:cs="Calibri" w:eastAsia="Calibri" w:hAnsi="Calibri"/>
          <w:b/>
          <w:bCs/>
          <w:sz w:val="21"/>
          <w:szCs w:val="21"/>
        </w:rPr>
        <w:t xml:space="preserve">discrimination</w:t>
      </w:r>
      <w:r>
        <w:rPr>
          <w:rFonts w:ascii="Calibri" w:cs="Calibri" w:eastAsia="Calibri" w:hAnsi="Calibri"/>
          <w:sz w:val="21"/>
          <w:szCs w:val="21"/>
        </w:rPr>
        <w:t xml:space="preserve"> — treating someone less favourably on a ground protected by law, including in recruitment, pay, promotion, training, discipline and termination.</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The Company prohibits </w:t>
      </w:r>
      <w:r>
        <w:rPr>
          <w:rFonts w:ascii="Calibri" w:cs="Calibri" w:eastAsia="Calibri" w:hAnsi="Calibri"/>
          <w:b/>
          <w:bCs/>
          <w:sz w:val="21"/>
          <w:szCs w:val="21"/>
        </w:rPr>
        <w:t xml:space="preserve">harassment</w:t>
      </w:r>
      <w:r>
        <w:rPr>
          <w:rFonts w:ascii="Calibri" w:cs="Calibri" w:eastAsia="Calibri" w:hAnsi="Calibri"/>
          <w:sz w:val="21"/>
          <w:szCs w:val="21"/>
        </w:rPr>
        <w:t xml:space="preserve"> — unwanted conduct that violates a person’s dignity or creates an intimidating, hostile, degrading or offensive environment.</w:t>
      </w:r>
    </w:p>
    <w:p>
      <w:pPr>
        <w:spacing w:after="120" w:before="60" w:line="276"/>
        <w:ind w:left="720" w:hanging="720"/>
        <w:jc w:val="both"/>
      </w:pPr>
      <w:r>
        <w:rPr>
          <w:rFonts w:ascii="Calibri" w:cs="Calibri" w:eastAsia="Calibri" w:hAnsi="Calibri"/>
          <w:sz w:val="21"/>
          <w:szCs w:val="21"/>
        </w:rPr>
        <w:t xml:space="preserve">1.3	</w:t>
      </w:r>
      <w:r>
        <w:rPr>
          <w:rFonts w:ascii="Calibri" w:cs="Calibri" w:eastAsia="Calibri" w:hAnsi="Calibri"/>
          <w:sz w:val="21"/>
          <w:szCs w:val="21"/>
        </w:rPr>
        <w:t xml:space="preserve">The Company prohibits </w:t>
      </w:r>
      <w:r>
        <w:rPr>
          <w:rFonts w:ascii="Calibri" w:cs="Calibri" w:eastAsia="Calibri" w:hAnsi="Calibri"/>
          <w:b/>
          <w:bCs/>
          <w:sz w:val="21"/>
          <w:szCs w:val="21"/>
        </w:rPr>
        <w:t xml:space="preserve">sexual harassment</w:t>
      </w:r>
      <w:r>
        <w:rPr>
          <w:rFonts w:ascii="Calibri" w:cs="Calibri" w:eastAsia="Calibri" w:hAnsi="Calibri"/>
          <w:sz w:val="21"/>
          <w:szCs w:val="21"/>
        </w:rPr>
        <w:t xml:space="preserve">, including unwanted physical contact, sexual comments, requests for sexual favours, and the display or circulation of sexual material.</w:t>
      </w:r>
    </w:p>
    <w:p>
      <w:pPr>
        <w:spacing w:after="120" w:before="60" w:line="276"/>
        <w:ind w:left="720" w:hanging="720"/>
        <w:jc w:val="both"/>
      </w:pPr>
      <w:r>
        <w:rPr>
          <w:rFonts w:ascii="Calibri" w:cs="Calibri" w:eastAsia="Calibri" w:hAnsi="Calibri"/>
          <w:sz w:val="21"/>
          <w:szCs w:val="21"/>
        </w:rPr>
        <w:t xml:space="preserve">1.4	</w:t>
      </w:r>
      <w:r>
        <w:rPr>
          <w:rFonts w:ascii="Calibri" w:cs="Calibri" w:eastAsia="Calibri" w:hAnsi="Calibri"/>
          <w:sz w:val="21"/>
          <w:szCs w:val="21"/>
        </w:rPr>
        <w:t xml:space="preserve">The Company prohibits </w:t>
      </w:r>
      <w:r>
        <w:rPr>
          <w:rFonts w:ascii="Calibri" w:cs="Calibri" w:eastAsia="Calibri" w:hAnsi="Calibri"/>
          <w:b/>
          <w:bCs/>
          <w:sz w:val="21"/>
          <w:szCs w:val="21"/>
        </w:rPr>
        <w:t xml:space="preserve">bullying</w:t>
      </w:r>
      <w:r>
        <w:rPr>
          <w:rFonts w:ascii="Calibri" w:cs="Calibri" w:eastAsia="Calibri" w:hAnsi="Calibri"/>
          <w:sz w:val="21"/>
          <w:szCs w:val="21"/>
        </w:rPr>
        <w:t xml:space="preserve"> — repeated behaviour that intimidates, humiliates or undermines.</w:t>
      </w:r>
    </w:p>
    <w:p>
      <w:pPr>
        <w:spacing w:after="120" w:before="60" w:line="276"/>
        <w:ind w:left="720" w:hanging="720"/>
        <w:jc w:val="both"/>
      </w:pPr>
      <w:r>
        <w:rPr>
          <w:rFonts w:ascii="Calibri" w:cs="Calibri" w:eastAsia="Calibri" w:hAnsi="Calibri"/>
          <w:sz w:val="21"/>
          <w:szCs w:val="21"/>
        </w:rPr>
        <w:t xml:space="preserve">1.5	</w:t>
      </w:r>
      <w:r>
        <w:rPr>
          <w:rFonts w:ascii="Calibri" w:cs="Calibri" w:eastAsia="Calibri" w:hAnsi="Calibri"/>
          <w:sz w:val="21"/>
          <w:szCs w:val="21"/>
        </w:rPr>
        <w:t xml:space="preserve">The Company prohibits </w:t>
      </w:r>
      <w:r>
        <w:rPr>
          <w:rFonts w:ascii="Calibri" w:cs="Calibri" w:eastAsia="Calibri" w:hAnsi="Calibri"/>
          <w:b/>
          <w:bCs/>
          <w:sz w:val="21"/>
          <w:szCs w:val="21"/>
        </w:rPr>
        <w:t xml:space="preserve">victimisation</w:t>
      </w:r>
      <w:r>
        <w:rPr>
          <w:rFonts w:ascii="Calibri" w:cs="Calibri" w:eastAsia="Calibri" w:hAnsi="Calibri"/>
          <w:sz w:val="21"/>
          <w:szCs w:val="21"/>
        </w:rPr>
        <w:t xml:space="preserve"> — treating someone badly because they raised a concern or supported someone else who did.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120"/>
        <w:gridCol w:w="7518"/>
      </w:tblGrid>
      <w:tr>
        <w:trPr>
          <w:cantSplit/>
          <w:tblHeader/>
        </w:trPr>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Behaviour</w:t>
            </w:r>
          </w:p>
        </w:tc>
        <w:tc>
          <w:tcPr>
            <w:tcW w:type="dxa" w:w="751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Examples</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Discrimination</w:t>
            </w:r>
          </w:p>
        </w:tc>
        <w:tc>
          <w:tcPr>
            <w:tcW w:type="dxa" w:w="751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Excluding a nationality from a role or a shift pattern; different pay for the same work without objective justification; refusing training on assumptions about someone’s background</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Harassment</w:t>
            </w:r>
          </w:p>
        </w:tc>
        <w:tc>
          <w:tcPr>
            <w:tcW w:type="dxa" w:w="751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Mockery of accent, religion, appearance or nationality; jokes at a group’s expense; isolating someone from work conversation</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Sexual harassment</w:t>
            </w:r>
          </w:p>
        </w:tc>
        <w:tc>
          <w:tcPr>
            <w:tcW w:type="dxa" w:w="751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Unwanted touching; persistent comments about appearance; sexual images; conditioning a work benefit on a personal relationship</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Bullying</w:t>
            </w:r>
          </w:p>
        </w:tc>
        <w:tc>
          <w:tcPr>
            <w:tcW w:type="dxa" w:w="751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Persistent unwarranted criticism; setting someone up to fail; shouting; public humiliation</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Victimisation</w:t>
            </w:r>
          </w:p>
        </w:tc>
        <w:tc>
          <w:tcPr>
            <w:tcW w:type="dxa" w:w="751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Removing hours, changing shifts, threatening a visa, or excluding someone after they complained</w:t>
            </w:r>
          </w:p>
        </w:tc>
      </w:tr>
    </w:tbl>
    <w:p>
      <w:pPr>
        <w:spacing w:after="140"/>
      </w:pPr>
    </w:p>
    <w:p>
      <w:pPr>
        <w:spacing w:after="120" w:before="60" w:line="276"/>
        <w:ind w:left="720" w:hanging="720"/>
        <w:jc w:val="both"/>
      </w:pPr>
      <w:r>
        <w:rPr>
          <w:rFonts w:ascii="Calibri" w:cs="Calibri" w:eastAsia="Calibri" w:hAnsi="Calibri"/>
          <w:sz w:val="21"/>
          <w:szCs w:val="21"/>
        </w:rPr>
        <w:t xml:space="preserve">1.6	</w:t>
      </w:r>
      <w:r>
        <w:rPr>
          <w:rFonts w:ascii="Calibri" w:cs="Calibri" w:eastAsia="Calibri" w:hAnsi="Calibri"/>
          <w:i/>
          <w:iCs/>
          <w:sz w:val="21"/>
          <w:szCs w:val="21"/>
        </w:rPr>
        <w:t xml:space="preserve">The test is the effect on the person, not the intention of the speaker. "It was a joke" is not a defence, and it is the most common response received.</w:t>
      </w:r>
    </w:p>
    <w:p>
      <w:pPr>
        <w:keepNext/>
        <w:spacing w:after="120" w:before="280"/>
        <w:outlineLvl w:val="0"/>
      </w:pPr>
      <w:r>
        <w:rPr>
          <w:rFonts w:ascii="Calibri" w:cs="Calibri" w:eastAsia="Calibri" w:hAnsi="Calibri"/>
          <w:b/>
          <w:bCs/>
          <w:color w:val="14161B"/>
          <w:sz w:val="22"/>
          <w:szCs w:val="22"/>
        </w:rPr>
        <w:t xml:space="preserve">2. THE VISA FEAR — ADDRESSED DIRECTLY</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Many employees hold residence through their employment. The Company recognises that this makes complaining feel dangerous.</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b/>
          <w:bCs/>
          <w:sz w:val="21"/>
          <w:szCs w:val="21"/>
        </w:rPr>
        <w:t xml:space="preserve">The Company will not terminate, cancel a visa, reduce hours, transfer, or otherwise disadvantage an employee because they raised a genuine concern.</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Dismissal because an employee filed a legitimate complaint may amount to </w:t>
      </w:r>
      <w:r>
        <w:rPr>
          <w:rFonts w:ascii="Calibri" w:cs="Calibri" w:eastAsia="Calibri" w:hAnsi="Calibri"/>
          <w:b/>
          <w:bCs/>
          <w:sz w:val="21"/>
          <w:szCs w:val="21"/>
        </w:rPr>
        <w:t xml:space="preserve">arbitrary dismissal</w:t>
      </w:r>
      <w:r>
        <w:rPr>
          <w:rFonts w:ascii="Calibri" w:cs="Calibri" w:eastAsia="Calibri" w:hAnsi="Calibri"/>
          <w:sz w:val="21"/>
          <w:szCs w:val="21"/>
        </w:rPr>
        <w:t xml:space="preserve">, for which compensation of up to three months’ salary may be awarded in addition to other entitlements.</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sz w:val="21"/>
          <w:szCs w:val="21"/>
        </w:rPr>
        <w:t xml:space="preserve">An employee may also raise an employment concern with </w:t>
      </w:r>
      <w:r>
        <w:rPr>
          <w:rFonts w:ascii="Calibri" w:cs="Calibri" w:eastAsia="Calibri" w:hAnsi="Calibri"/>
          <w:b/>
          <w:bCs/>
          <w:sz w:val="21"/>
          <w:szCs w:val="21"/>
        </w:rPr>
        <w:t xml:space="preserve">MOHRE</w:t>
      </w:r>
      <w:r>
        <w:rPr>
          <w:rFonts w:ascii="Calibri" w:cs="Calibri" w:eastAsia="Calibri" w:hAnsi="Calibri"/>
          <w:sz w:val="21"/>
          <w:szCs w:val="21"/>
        </w:rPr>
        <w:t xml:space="preserve"> independently of this policy.</w:t>
      </w:r>
    </w:p>
    <w:p>
      <w:pPr>
        <w:spacing w:after="120" w:before="60" w:line="276"/>
        <w:ind w:left="720" w:hanging="720"/>
        <w:jc w:val="both"/>
      </w:pPr>
      <w:r>
        <w:rPr>
          <w:rFonts w:ascii="Calibri" w:cs="Calibri" w:eastAsia="Calibri" w:hAnsi="Calibri"/>
          <w:sz w:val="21"/>
          <w:szCs w:val="21"/>
        </w:rPr>
        <w:t xml:space="preserve">2.5	</w:t>
      </w:r>
      <w:r>
        <w:rPr>
          <w:rFonts w:ascii="Calibri" w:cs="Calibri" w:eastAsia="Calibri" w:hAnsi="Calibri"/>
          <w:i/>
          <w:iCs/>
          <w:sz w:val="21"/>
          <w:szCs w:val="21"/>
        </w:rPr>
        <w:t xml:space="preserve">Say this explicitly and repeat it. In a workforce where residence depends on the job, a policy that does not name the fear will not be used — and the absence of complaints will be mistaken for the absence of a problem.</w:t>
      </w:r>
    </w:p>
    <w:p>
      <w:pPr>
        <w:keepNext/>
        <w:spacing w:after="120" w:before="280"/>
        <w:outlineLvl w:val="0"/>
      </w:pPr>
      <w:r>
        <w:rPr>
          <w:rFonts w:ascii="Calibri" w:cs="Calibri" w:eastAsia="Calibri" w:hAnsi="Calibri"/>
          <w:b/>
          <w:bCs/>
          <w:color w:val="14161B"/>
          <w:sz w:val="22"/>
          <w:szCs w:val="22"/>
        </w:rPr>
        <w:t xml:space="preserve">3. RAISING A CONCERN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6362"/>
      </w:tblGrid>
      <w:tr>
        <w:trPr>
          <w:cantSplit/>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Route</w:t>
            </w:r>
          </w:p>
        </w:tc>
        <w:tc>
          <w:tcPr>
            <w:tcW w:type="dxa" w:w="63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When</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Speak to the person directly</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Where you feel safe and it may resolve matters</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Your line manager</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usual first route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r>
              <w:rPr>
                <w:rFonts w:ascii="Calibri" w:cs="Calibri" w:eastAsia="Calibri" w:hAnsi="Calibri"/>
                <w:b/>
                <w:bCs/>
                <w:sz w:val="18"/>
                <w:szCs w:val="18"/>
              </w:rPr>
              <w:t xml:space="preserve"> or </w:t>
            </w:r>
            <w:r>
              <w:rPr>
                <w:rFonts w:ascii="Calibri" w:cs="Calibri" w:eastAsia="Calibri" w:hAnsi="Calibri"/>
                <w:b/>
                <w:bCs/>
                <w:sz w:val="18"/>
                <w:szCs w:val="18"/>
              </w:rPr>
              <w:t xml:space="preserve">[NAME]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Where the manager is the problem, or you prefer not to go to them</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[Confidential reporting channel]</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Where you want to raise it without going through a person you know</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MOHRE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Independently, at any time</w:t>
            </w:r>
          </w:p>
        </w:tc>
      </w:tr>
    </w:tbl>
    <w:p>
      <w:pPr>
        <w:spacing w:after="140"/>
      </w:pP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A concern may be raised </w:t>
      </w:r>
      <w:r>
        <w:rPr>
          <w:rFonts w:ascii="Calibri" w:cs="Calibri" w:eastAsia="Calibri" w:hAnsi="Calibri"/>
          <w:b/>
          <w:bCs/>
          <w:sz w:val="21"/>
          <w:szCs w:val="21"/>
        </w:rPr>
        <w:t xml:space="preserve">in any of the languages listed</w:t>
      </w:r>
      <w:r>
        <w:rPr>
          <w:rFonts w:ascii="Calibri" w:cs="Calibri" w:eastAsia="Calibri" w:hAnsi="Calibri"/>
          <w:sz w:val="21"/>
          <w:szCs w:val="21"/>
        </w:rPr>
        <w:t xml:space="preserve"> in the header, verbally or in writing.</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Concerns are acknowledged within </w:t>
      </w:r>
      <w:r>
        <w:rPr>
          <w:rFonts w:ascii="Calibri" w:cs="Calibri" w:eastAsia="Calibri" w:hAnsi="Calibri"/>
          <w:b/>
          <w:bCs/>
          <w:sz w:val="21"/>
          <w:szCs w:val="21"/>
        </w:rPr>
        <w:t xml:space="preserve">[3]</w:t>
      </w:r>
      <w:r>
        <w:rPr>
          <w:rFonts w:ascii="Calibri" w:cs="Calibri" w:eastAsia="Calibri" w:hAnsi="Calibri"/>
          <w:b/>
          <w:bCs/>
          <w:sz w:val="21"/>
          <w:szCs w:val="21"/>
        </w:rPr>
        <w:t xml:space="preserve"> working days</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The employee may be accompanied by a colleague at any meeting.</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sz w:val="21"/>
          <w:szCs w:val="21"/>
        </w:rPr>
        <w:t xml:space="preserve">The Company will keep the matter as confidential as the investigation allows, and will explain what will happen before it happens.</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4. HOW THE COMPANY RESPONDS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5011"/>
        <w:gridCol w:w="2505"/>
        <w:gridCol w:w="1737"/>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501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Step</w:t>
            </w:r>
          </w:p>
        </w:tc>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Timing</w:t>
            </w:r>
          </w:p>
        </w:tc>
        <w:tc>
          <w:tcPr>
            <w:tcW w:type="dxa" w:w="173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Done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Acknowledge the concern and check the person is safe</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Within 3 working days</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Agree immediate steps — separation of duties, changed reporting</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Immediately if needed</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Appoint an investigator not involved in the events</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Day 1</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Take a full account from the complainant, in their language</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Week 1</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Put the allegation to the person complained of, and hear their response</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Week 1–2</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Interview witnesses and gather records</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Week 1–2</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Reach a conclusion on the facts and record the reasoning</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Week 2–3</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Decide action — </w:t>
            </w:r>
            <w:r>
              <w:rPr>
                <w:rFonts w:ascii="Calibri" w:cs="Calibri" w:eastAsia="Calibri" w:hAnsi="Calibri"/>
                <w:b/>
                <w:bCs/>
                <w:sz w:val="17"/>
                <w:szCs w:val="17"/>
              </w:rPr>
              <w:t xml:space="preserve">from the permitted disciplinary penalties only</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Week 3</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Tell the complainant the outcome, so far as appropriate</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Week 3</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Check on the complainant after </w:t>
            </w:r>
            <w:r>
              <w:rPr>
                <w:rFonts w:ascii="Calibri" w:cs="Calibri" w:eastAsia="Calibri" w:hAnsi="Calibri"/>
                <w:b/>
                <w:bCs/>
                <w:sz w:val="17"/>
                <w:szCs w:val="17"/>
              </w:rPr>
              <w:t xml:space="preserve">[4]</w:t>
            </w:r>
            <w:r>
              <w:rPr>
                <w:rFonts w:ascii="Calibri" w:cs="Calibri" w:eastAsia="Calibri" w:hAnsi="Calibri"/>
                <w:sz w:val="17"/>
                <w:szCs w:val="17"/>
              </w:rPr>
              <w:t xml:space="preserve"> and </w:t>
            </w:r>
            <w:r>
              <w:rPr>
                <w:rFonts w:ascii="Calibri" w:cs="Calibri" w:eastAsia="Calibri" w:hAnsi="Calibri"/>
                <w:b/>
                <w:bCs/>
                <w:sz w:val="17"/>
                <w:szCs w:val="17"/>
              </w:rPr>
              <w:t xml:space="preserve">[12]</w:t>
            </w:r>
            <w:r>
              <w:rPr>
                <w:rFonts w:ascii="Calibri" w:cs="Calibri" w:eastAsia="Calibri" w:hAnsi="Calibri"/>
                <w:sz w:val="17"/>
                <w:szCs w:val="17"/>
              </w:rPr>
              <w:t xml:space="preserve"> weeks</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Ongoing</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11</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Address any wider cultural or systemic issue</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After the outcome</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12</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Record the matter in the confidential register</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 closure</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bl>
    <w:p>
      <w:pPr>
        <w:spacing w:after="140"/>
      </w:pP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b/>
          <w:bCs/>
          <w:sz w:val="21"/>
          <w:szCs w:val="21"/>
        </w:rPr>
        <w:t xml:space="preserve">Interim steps are not a penalty on the complainant.</w:t>
      </w:r>
      <w:r>
        <w:rPr>
          <w:rFonts w:ascii="Calibri" w:cs="Calibri" w:eastAsia="Calibri" w:hAnsi="Calibri"/>
          <w:sz w:val="21"/>
          <w:szCs w:val="21"/>
        </w:rPr>
        <w:t xml:space="preserve"> Do not move the person who complained — move the person complained of, or change reporting lines, unless the complainant asks otherwise.</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Disciplinary action must come from the </w:t>
      </w:r>
      <w:r>
        <w:rPr>
          <w:rFonts w:ascii="Calibri" w:cs="Calibri" w:eastAsia="Calibri" w:hAnsi="Calibri"/>
          <w:b/>
          <w:bCs/>
          <w:sz w:val="21"/>
          <w:szCs w:val="21"/>
        </w:rPr>
        <w:t xml:space="preserve">permitted statutory list of penalties</w:t>
      </w:r>
      <w:r>
        <w:rPr>
          <w:rFonts w:ascii="Calibri" w:cs="Calibri" w:eastAsia="Calibri" w:hAnsi="Calibri"/>
          <w:sz w:val="21"/>
          <w:szCs w:val="21"/>
        </w:rPr>
        <w:t xml:space="preserve">. Inventing a sanction creates a claim even where the harassment finding was correct.</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sz w:val="21"/>
          <w:szCs w:val="21"/>
        </w:rPr>
        <w:t xml:space="preserve">Step 10 matters. Retaliation frequently begins after the process ends, quietly.</w:t>
      </w:r>
    </w:p>
    <w:p>
      <w:pPr>
        <w:keepNext/>
        <w:spacing w:after="120" w:before="280"/>
        <w:outlineLvl w:val="0"/>
      </w:pPr>
      <w:r>
        <w:rPr>
          <w:rFonts w:ascii="Calibri" w:cs="Calibri" w:eastAsia="Calibri" w:hAnsi="Calibri"/>
          <w:b/>
          <w:bCs/>
          <w:color w:val="14161B"/>
          <w:sz w:val="22"/>
          <w:szCs w:val="22"/>
        </w:rPr>
        <w:t xml:space="preserve">5. MANAGERS</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A manager who receives a concern must act on it, whether or not it is framed as a formal complaint.</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A manager must not investigate a matter in which they are involved.</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sz w:val="21"/>
          <w:szCs w:val="21"/>
        </w:rPr>
        <w:t xml:space="preserve">A manager must not promise absolute confidentiality where the matter must be investigated — explain what will happen instead.</w:t>
      </w:r>
    </w:p>
    <w:p>
      <w:pPr>
        <w:spacing w:after="120" w:before="60" w:line="276"/>
        <w:ind w:left="720" w:hanging="720"/>
        <w:jc w:val="both"/>
      </w:pPr>
      <w:r>
        <w:rPr>
          <w:rFonts w:ascii="Calibri" w:cs="Calibri" w:eastAsia="Calibri" w:hAnsi="Calibri"/>
          <w:sz w:val="21"/>
          <w:szCs w:val="21"/>
        </w:rPr>
        <w:t xml:space="preserve">5.4	</w:t>
      </w:r>
      <w:r>
        <w:rPr>
          <w:rFonts w:ascii="Calibri" w:cs="Calibri" w:eastAsia="Calibri" w:hAnsi="Calibri"/>
          <w:sz w:val="21"/>
          <w:szCs w:val="21"/>
        </w:rPr>
        <w:t xml:space="preserve">A manager who ignores a concern, or who retaliates, is themselves in breach of this policy.</w:t>
      </w:r>
    </w:p>
    <w:p>
      <w:pPr>
        <w:keepNext/>
        <w:spacing w:after="120" w:before="280"/>
        <w:outlineLvl w:val="0"/>
      </w:pPr>
      <w:r>
        <w:rPr>
          <w:rFonts w:ascii="Calibri" w:cs="Calibri" w:eastAsia="Calibri" w:hAnsi="Calibri"/>
          <w:b/>
          <w:bCs/>
          <w:color w:val="14161B"/>
          <w:sz w:val="22"/>
          <w:szCs w:val="22"/>
        </w:rPr>
        <w:t xml:space="preserve">6. PREVENTION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6361"/>
        <w:gridCol w:w="3277"/>
      </w:tblGrid>
      <w:tr>
        <w:trPr>
          <w:cantSplit/>
          <w:tblHeader/>
        </w:trPr>
        <w:tc>
          <w:tcPr>
            <w:tcW w:type="dxa" w:w="636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Measure</w:t>
            </w:r>
          </w:p>
        </w:tc>
        <w:tc>
          <w:tcPr>
            <w:tcW w:type="dxa" w:w="327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Frequency</w:t>
            </w:r>
          </w:p>
        </w:tc>
      </w:tr>
      <w:tr>
        <w:trPr>
          <w:cantSplit/>
        </w:trPr>
        <w:tc>
          <w:tcPr>
            <w:tcW w:type="dxa" w:w="636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Policy issued and acknowledged at induction, in a language the employee reads</w:t>
            </w:r>
          </w:p>
        </w:tc>
        <w:tc>
          <w:tcPr>
            <w:tcW w:type="dxa" w:w="327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 joining</w:t>
            </w:r>
          </w:p>
        </w:tc>
      </w:tr>
      <w:tr>
        <w:trPr>
          <w:cantSplit/>
        </w:trPr>
        <w:tc>
          <w:tcPr>
            <w:tcW w:type="dxa" w:w="636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Manager training on receiving and escalating concerns</w:t>
            </w:r>
          </w:p>
        </w:tc>
        <w:tc>
          <w:tcPr>
            <w:tcW w:type="dxa" w:w="327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Annually</w:t>
            </w:r>
          </w:p>
        </w:tc>
      </w:tr>
      <w:tr>
        <w:trPr>
          <w:cantSplit/>
        </w:trPr>
        <w:tc>
          <w:tcPr>
            <w:tcW w:type="dxa" w:w="636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All-staff briefing on expected conduct</w:t>
            </w:r>
          </w:p>
        </w:tc>
        <w:tc>
          <w:tcPr>
            <w:tcW w:type="dxa" w:w="327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Annually</w:t>
            </w:r>
          </w:p>
        </w:tc>
      </w:tr>
      <w:tr>
        <w:trPr>
          <w:cantSplit/>
        </w:trPr>
        <w:tc>
          <w:tcPr>
            <w:tcW w:type="dxa" w:w="636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Anonymous climate survey</w:t>
            </w:r>
          </w:p>
        </w:tc>
        <w:tc>
          <w:tcPr>
            <w:tcW w:type="dxa" w:w="327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[Annually]</w:t>
            </w:r>
          </w:p>
        </w:tc>
      </w:tr>
      <w:tr>
        <w:trPr>
          <w:cantSplit/>
        </w:trPr>
        <w:tc>
          <w:tcPr>
            <w:tcW w:type="dxa" w:w="636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Review of pay and promotion decisions for patterns</w:t>
            </w:r>
          </w:p>
        </w:tc>
        <w:tc>
          <w:tcPr>
            <w:tcW w:type="dxa" w:w="327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Annually</w:t>
            </w:r>
          </w:p>
        </w:tc>
      </w:tr>
      <w:tr>
        <w:trPr>
          <w:cantSplit/>
        </w:trPr>
        <w:tc>
          <w:tcPr>
            <w:tcW w:type="dxa" w:w="636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Review of the confidential register for repeat names or teams</w:t>
            </w:r>
          </w:p>
        </w:tc>
        <w:tc>
          <w:tcPr>
            <w:tcW w:type="dxa" w:w="327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Quarterly</w:t>
            </w:r>
          </w:p>
        </w:tc>
      </w:tr>
    </w:tbl>
    <w:p>
      <w:pPr>
        <w:spacing w:after="140"/>
      </w:pP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i/>
          <w:iCs/>
          <w:sz w:val="21"/>
          <w:szCs w:val="21"/>
        </w:rPr>
        <w:t xml:space="preserve">The register review is the most useful control here. A single complaint is an incident; the same name or the same team appearing repeatedly is a pattern that nobody sees unless someone looks.</w:t>
      </w:r>
    </w:p>
    <w:p>
      <w:pPr>
        <w:spacing w:after="160"/>
      </w:pPr>
    </w:p>
    <w:p>
      <w:pPr>
        <w:spacing w:after="150" w:before="0" w:line="276"/>
        <w:jc w:val="both"/>
      </w:pPr>
      <w:r>
        <w:rPr>
          <w:rFonts w:ascii="Calibri" w:cs="Calibri" w:eastAsia="Calibri" w:hAnsi="Calibri"/>
          <w:b/>
          <w:bCs/>
          <w:sz w:val="21"/>
          <w:szCs w:val="21"/>
        </w:rPr>
        <w:t xml:space="preserve">Acknowledgement.</w:t>
      </w:r>
      <w:r>
        <w:rPr>
          <w:rFonts w:ascii="Calibri" w:cs="Calibri" w:eastAsia="Calibri" w:hAnsi="Calibri"/>
          <w:sz w:val="21"/>
          <w:szCs w:val="21"/>
        </w:rPr>
        <w:t xml:space="preserve"> I confirm that I have received this policy in a language I understand, and that I know how to raise a concern.</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[EMPLOYEE 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For </w:t>
            </w:r>
            <w:r>
              <w:rPr>
                <w:rFonts w:ascii="Calibri" w:cs="Calibri" w:eastAsia="Calibri" w:hAnsi="Calibri"/>
                <w:b/>
                <w:bCs/>
                <w:sz w:val="21"/>
                <w:szCs w:val="21"/>
              </w:rPr>
              <w:t xml:space="preserve">[COMPANY 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Name the visa fear explicitly</w:t>
      </w:r>
    </w:p>
    <w:p>
      <w:pPr>
        <w:spacing w:after="60" w:line="264"/>
        <w:jc w:val="both"/>
      </w:pPr>
      <w:r>
        <w:rPr>
          <w:rFonts w:ascii="Calibri" w:cs="Calibri" w:eastAsia="Calibri" w:hAnsi="Calibri"/>
          <w:sz w:val="19"/>
          <w:szCs w:val="19"/>
        </w:rPr>
        <w:t xml:space="preserve">In a workforce where residence depends on employment, the barrier to reporting is not the absence of a policy — it is the belief that complaining costs you your visa. A policy that does not address that directly will not be used, and the resulting silence will be misread as the absence of a problem. Section 2 exists for this reason and should not be softened.</w:t>
      </w:r>
    </w:p>
    <w:p>
      <w:pPr>
        <w:keepNext/>
        <w:spacing w:after="40" w:before="140"/>
      </w:pPr>
      <w:r>
        <w:rPr>
          <w:rFonts w:ascii="Calibri" w:cs="Calibri" w:eastAsia="Calibri" w:hAnsi="Calibri"/>
          <w:b/>
          <w:bCs/>
          <w:color w:val="14161B"/>
          <w:sz w:val="20"/>
          <w:szCs w:val="20"/>
        </w:rPr>
        <w:t xml:space="preserve">Retaliation carries a real remedy</w:t>
      </w:r>
    </w:p>
    <w:p>
      <w:pPr>
        <w:spacing w:after="60" w:line="264"/>
        <w:jc w:val="both"/>
      </w:pPr>
      <w:r>
        <w:rPr>
          <w:rFonts w:ascii="Calibri" w:cs="Calibri" w:eastAsia="Calibri" w:hAnsi="Calibri"/>
          <w:sz w:val="19"/>
          <w:szCs w:val="19"/>
        </w:rPr>
        <w:t xml:space="preserve">Dismissal because an employee raised a legitimate complaint may amount to arbitrary dismissal with compensation of up to three months’ salary in addition to other entitlements. Say so in the policy — it tells employees the protection is not merely a promise from the employer.</w:t>
      </w:r>
    </w:p>
    <w:p>
      <w:pPr>
        <w:keepNext/>
        <w:spacing w:after="40" w:before="140"/>
      </w:pPr>
      <w:r>
        <w:rPr>
          <w:rFonts w:ascii="Calibri" w:cs="Calibri" w:eastAsia="Calibri" w:hAnsi="Calibri"/>
          <w:b/>
          <w:bCs/>
          <w:color w:val="14161B"/>
          <w:sz w:val="20"/>
          <w:szCs w:val="20"/>
        </w:rPr>
        <w:t xml:space="preserve">Issue it in languages people actually read</w:t>
      </w:r>
    </w:p>
    <w:p>
      <w:pPr>
        <w:spacing w:after="60" w:line="264"/>
        <w:jc w:val="both"/>
      </w:pPr>
      <w:r>
        <w:rPr>
          <w:rFonts w:ascii="Calibri" w:cs="Calibri" w:eastAsia="Calibri" w:hAnsi="Calibri"/>
          <w:sz w:val="19"/>
          <w:szCs w:val="19"/>
        </w:rPr>
        <w:t xml:space="preserve">A policy circulated in English to a workforce that reads Hindi, Urdu, Tagalog, Malayalam or Arabic has been distributed, not communicated. Translate it, deliver induction in those languages, and record which was used.</w:t>
      </w:r>
    </w:p>
    <w:p>
      <w:pPr>
        <w:keepNext/>
        <w:spacing w:after="40" w:before="140"/>
      </w:pPr>
      <w:r>
        <w:rPr>
          <w:rFonts w:ascii="Calibri" w:cs="Calibri" w:eastAsia="Calibri" w:hAnsi="Calibri"/>
          <w:b/>
          <w:bCs/>
          <w:color w:val="14161B"/>
          <w:sz w:val="20"/>
          <w:szCs w:val="20"/>
        </w:rPr>
        <w:t xml:space="preserve">Effect, not intention, is the test</w:t>
      </w:r>
    </w:p>
    <w:p>
      <w:pPr>
        <w:spacing w:after="60" w:line="264"/>
        <w:jc w:val="both"/>
      </w:pPr>
      <w:r>
        <w:rPr>
          <w:rFonts w:ascii="Calibri" w:cs="Calibri" w:eastAsia="Calibri" w:hAnsi="Calibri"/>
          <w:sz w:val="19"/>
          <w:szCs w:val="19"/>
        </w:rPr>
        <w:t xml:space="preserve">The most common response to a complaint is that it was a joke and no offence was meant. That is not a defence. Stating the test in the policy saves the argument being had from scratch in every investigation.</w:t>
      </w:r>
    </w:p>
    <w:p>
      <w:pPr>
        <w:keepNext/>
        <w:spacing w:after="40" w:before="140"/>
      </w:pPr>
      <w:r>
        <w:rPr>
          <w:rFonts w:ascii="Calibri" w:cs="Calibri" w:eastAsia="Calibri" w:hAnsi="Calibri"/>
          <w:b/>
          <w:bCs/>
          <w:color w:val="14161B"/>
          <w:sz w:val="20"/>
          <w:szCs w:val="20"/>
        </w:rPr>
        <w:t xml:space="preserve">Do not move the complainant</w:t>
      </w:r>
    </w:p>
    <w:p>
      <w:pPr>
        <w:spacing w:after="60" w:line="264"/>
        <w:jc w:val="both"/>
      </w:pPr>
      <w:r>
        <w:rPr>
          <w:rFonts w:ascii="Calibri" w:cs="Calibri" w:eastAsia="Calibri" w:hAnsi="Calibri"/>
          <w:sz w:val="19"/>
          <w:szCs w:val="19"/>
        </w:rPr>
        <w:t xml:space="preserve">Interim measures are necessary but they must not fall on the person who complained. Changing the complainant’s shift, desk or reporting line is experienced as a penalty and it deters everyone watching. Move the other party or change reporting lines instead.</w:t>
      </w:r>
    </w:p>
    <w:p>
      <w:pPr>
        <w:keepNext/>
        <w:spacing w:after="40" w:before="140"/>
      </w:pPr>
      <w:r>
        <w:rPr>
          <w:rFonts w:ascii="Calibri" w:cs="Calibri" w:eastAsia="Calibri" w:hAnsi="Calibri"/>
          <w:b/>
          <w:bCs/>
          <w:color w:val="14161B"/>
          <w:sz w:val="20"/>
          <w:szCs w:val="20"/>
        </w:rPr>
        <w:t xml:space="preserve">Sanctions must come from the permitted statutory list</w:t>
      </w:r>
    </w:p>
    <w:p>
      <w:pPr>
        <w:spacing w:after="60" w:line="264"/>
        <w:jc w:val="both"/>
      </w:pPr>
      <w:r>
        <w:rPr>
          <w:rFonts w:ascii="Calibri" w:cs="Calibri" w:eastAsia="Calibri" w:hAnsi="Calibri"/>
          <w:sz w:val="19"/>
          <w:szCs w:val="19"/>
        </w:rPr>
        <w:t xml:space="preserve">Even where a harassment finding is entirely correct, imposing a penalty outside the statutory list — an unpaid suspension, a pay cut, a punitive transfer — creates a claim. Get the finding right and then get the sanction right.</w:t>
      </w:r>
    </w:p>
    <w:p>
      <w:pPr>
        <w:keepNext/>
        <w:spacing w:after="40" w:before="140"/>
      </w:pPr>
      <w:r>
        <w:rPr>
          <w:rFonts w:ascii="Calibri" w:cs="Calibri" w:eastAsia="Calibri" w:hAnsi="Calibri"/>
          <w:b/>
          <w:bCs/>
          <w:color w:val="14161B"/>
          <w:sz w:val="20"/>
          <w:szCs w:val="20"/>
        </w:rPr>
        <w:t xml:space="preserve">Check back after the process ends</w:t>
      </w:r>
    </w:p>
    <w:p>
      <w:pPr>
        <w:spacing w:after="60" w:line="264"/>
        <w:jc w:val="both"/>
      </w:pPr>
      <w:r>
        <w:rPr>
          <w:rFonts w:ascii="Calibri" w:cs="Calibri" w:eastAsia="Calibri" w:hAnsi="Calibri"/>
          <w:sz w:val="19"/>
          <w:szCs w:val="19"/>
        </w:rPr>
        <w:t xml:space="preserve">Retaliation usually begins quietly once attention has moved on — hours reduced, exclusion from meetings, a poor review. Scheduled follow-up at four and twelve weeks catches it, and its absence is why complainants say the process made things worse.</w:t>
      </w:r>
    </w:p>
    <w:p>
      <w:pPr>
        <w:keepNext/>
        <w:spacing w:after="40" w:before="140"/>
      </w:pPr>
      <w:r>
        <w:rPr>
          <w:rFonts w:ascii="Calibri" w:cs="Calibri" w:eastAsia="Calibri" w:hAnsi="Calibri"/>
          <w:b/>
          <w:bCs/>
          <w:color w:val="14161B"/>
          <w:sz w:val="20"/>
          <w:szCs w:val="20"/>
        </w:rPr>
        <w:t xml:space="preserve">Managers must act on informal disclosures</w:t>
      </w:r>
    </w:p>
    <w:p>
      <w:pPr>
        <w:spacing w:after="60" w:line="264"/>
        <w:jc w:val="both"/>
      </w:pPr>
      <w:r>
        <w:rPr>
          <w:rFonts w:ascii="Calibri" w:cs="Calibri" w:eastAsia="Calibri" w:hAnsi="Calibri"/>
          <w:sz w:val="19"/>
          <w:szCs w:val="19"/>
        </w:rPr>
        <w:t xml:space="preserve">A concern raised in a corridor conversation is still a concern. A manager who waits for a formal written complaint has failed to act, and the organisation is on notice from the moment the manager knew.</w:t>
      </w:r>
    </w:p>
    <w:p>
      <w:pPr>
        <w:keepNext/>
        <w:spacing w:after="40" w:before="140"/>
      </w:pPr>
      <w:r>
        <w:rPr>
          <w:rFonts w:ascii="Calibri" w:cs="Calibri" w:eastAsia="Calibri" w:hAnsi="Calibri"/>
          <w:b/>
          <w:bCs/>
          <w:color w:val="14161B"/>
          <w:sz w:val="20"/>
          <w:szCs w:val="20"/>
        </w:rPr>
        <w:t xml:space="preserve">Do not promise absolute confidentiality</w:t>
      </w:r>
    </w:p>
    <w:p>
      <w:pPr>
        <w:spacing w:after="60" w:line="264"/>
        <w:jc w:val="both"/>
      </w:pPr>
      <w:r>
        <w:rPr>
          <w:rFonts w:ascii="Calibri" w:cs="Calibri" w:eastAsia="Calibri" w:hAnsi="Calibri"/>
          <w:sz w:val="19"/>
          <w:szCs w:val="19"/>
        </w:rPr>
        <w:t xml:space="preserve">A serious allegation cannot be investigated without the person complained of learning of it. Promising secrecy and then breaking it destroys trust more thoroughly than being honest at the start about what will happen.</w:t>
      </w:r>
    </w:p>
    <w:p>
      <w:pPr>
        <w:keepNext/>
        <w:spacing w:after="40" w:before="140"/>
      </w:pPr>
      <w:r>
        <w:rPr>
          <w:rFonts w:ascii="Calibri" w:cs="Calibri" w:eastAsia="Calibri" w:hAnsi="Calibri"/>
          <w:b/>
          <w:bCs/>
          <w:color w:val="14161B"/>
          <w:sz w:val="20"/>
          <w:szCs w:val="20"/>
        </w:rPr>
        <w:t xml:space="preserve">Review the register for patterns</w:t>
      </w:r>
    </w:p>
    <w:p>
      <w:pPr>
        <w:spacing w:after="60" w:line="264"/>
        <w:jc w:val="both"/>
      </w:pPr>
      <w:r>
        <w:rPr>
          <w:rFonts w:ascii="Calibri" w:cs="Calibri" w:eastAsia="Calibri" w:hAnsi="Calibri"/>
          <w:sz w:val="19"/>
          <w:szCs w:val="19"/>
        </w:rPr>
        <w:t xml:space="preserve">One complaint is an incident. The same individual or the same team appearing repeatedly is a pattern, and nobody sees it unless someone deliberately looks. A quarterly review of the confidential register is the highest-value control in this policy.</w:t>
      </w:r>
    </w:p>
    <w:p>
      <w:pPr>
        <w:keepNext/>
        <w:spacing w:after="40" w:before="140"/>
      </w:pPr>
      <w:r>
        <w:rPr>
          <w:rFonts w:ascii="Calibri" w:cs="Calibri" w:eastAsia="Calibri" w:hAnsi="Calibri"/>
          <w:b/>
          <w:bCs/>
          <w:color w:val="14161B"/>
          <w:sz w:val="20"/>
          <w:szCs w:val="20"/>
        </w:rPr>
        <w:t xml:space="preserve">Watch pay and promotion for indirect discrimination</w:t>
      </w:r>
    </w:p>
    <w:p>
      <w:pPr>
        <w:spacing w:after="60" w:line="264"/>
        <w:jc w:val="both"/>
      </w:pPr>
      <w:r>
        <w:rPr>
          <w:rFonts w:ascii="Calibri" w:cs="Calibri" w:eastAsia="Calibri" w:hAnsi="Calibri"/>
          <w:sz w:val="19"/>
          <w:szCs w:val="19"/>
        </w:rPr>
        <w:t xml:space="preserve">Discrimination in the UAE workplace is more often structural than explicit — nationality-linked pay bands, roles closed to certain groups, shift patterns allocated by background. An annual review of pay and promotion decisions surfaces what no complaint will.</w:t>
      </w:r>
    </w:p>
    <w:p>
      <w:pPr>
        <w:keepNext/>
        <w:spacing w:after="40" w:before="140"/>
      </w:pPr>
      <w:r>
        <w:rPr>
          <w:rFonts w:ascii="Calibri" w:cs="Calibri" w:eastAsia="Calibri" w:hAnsi="Calibri"/>
          <w:b/>
          <w:bCs/>
          <w:color w:val="14161B"/>
          <w:sz w:val="20"/>
          <w:szCs w:val="20"/>
        </w:rPr>
        <w:t xml:space="preserve">Contractors and agency staff are in scope</w:t>
      </w:r>
    </w:p>
    <w:p>
      <w:pPr>
        <w:spacing w:after="60" w:line="264"/>
        <w:jc w:val="both"/>
      </w:pPr>
      <w:r>
        <w:rPr>
          <w:rFonts w:ascii="Calibri" w:cs="Calibri" w:eastAsia="Calibri" w:hAnsi="Calibri"/>
          <w:sz w:val="19"/>
          <w:szCs w:val="19"/>
        </w:rPr>
        <w:t xml:space="preserve">Harassment by or towards contractors, agency workers and visitors affects your workplace and your employees. The policy applies to conduct in your workplace regardless of who employs the individual.</w:t>
      </w:r>
    </w:p>
    <w:p>
      <w:pPr>
        <w:keepNext/>
        <w:spacing w:after="40" w:before="140"/>
      </w:pPr>
      <w:r>
        <w:rPr>
          <w:rFonts w:ascii="Calibri" w:cs="Calibri" w:eastAsia="Calibri" w:hAnsi="Calibri"/>
          <w:b/>
          <w:bCs/>
          <w:color w:val="14161B"/>
          <w:sz w:val="20"/>
          <w:szCs w:val="20"/>
        </w:rPr>
        <w:t xml:space="preserve">Keep records properly and separately</w:t>
      </w:r>
    </w:p>
    <w:p>
      <w:pPr>
        <w:spacing w:after="60" w:line="264"/>
        <w:jc w:val="both"/>
      </w:pPr>
      <w:r>
        <w:rPr>
          <w:rFonts w:ascii="Calibri" w:cs="Calibri" w:eastAsia="Calibri" w:hAnsi="Calibri"/>
          <w:sz w:val="19"/>
          <w:szCs w:val="19"/>
        </w:rPr>
        <w:t xml:space="preserve">Investigation notes, accounts, the decision and the reasoning need retaining, and sensitive personal data — which this is — should be held separately with restricted access under the applicable data protection regime.</w:t>
      </w:r>
    </w:p>
    <w:p>
      <w:pPr>
        <w:keepNext/>
        <w:spacing w:after="40" w:before="140"/>
      </w:pPr>
      <w:r>
        <w:rPr>
          <w:rFonts w:ascii="Calibri" w:cs="Calibri" w:eastAsia="Calibri" w:hAnsi="Calibri"/>
          <w:b/>
          <w:bCs/>
          <w:color w:val="14161B"/>
          <w:sz w:val="20"/>
          <w:szCs w:val="20"/>
        </w:rPr>
        <w:t xml:space="preserve">The Workplace Fairness direction of travel</w:t>
      </w:r>
    </w:p>
    <w:p>
      <w:pPr>
        <w:spacing w:after="60" w:line="264"/>
        <w:jc w:val="both"/>
      </w:pPr>
      <w:r>
        <w:rPr>
          <w:rFonts w:ascii="Calibri" w:cs="Calibri" w:eastAsia="Calibri" w:hAnsi="Calibri"/>
          <w:sz w:val="19"/>
          <w:szCs w:val="19"/>
        </w:rPr>
        <w:t xml:space="preserve">Regional practice is moving towards more prescriptive workplace fairness obligations. A company with a genuine policy, real reporting routes and evidence of use is positioned for that; one relying on a document nobody has read is not.</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Federal Decree-Law 33/2021 has been amended, and provisions on discrimination, harassment, permitted disciplinary penalties, arbitrary dismissal compensation and the MOHRE complaint process change — confirm the current position with MOHRE or a UAE employment adviser, and note that DIFC and ADGM apply their own codes.</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2026-08-23T16:28:35.024Z</dcterms:created>
  <dcterms:modified xsi:type="dcterms:W3CDTF">2026-08-23T16:28:35.024Z</dcterms:modified>
</cp:coreProperties>
</file>

<file path=docProps/custom.xml><?xml version="1.0" encoding="utf-8"?>
<Properties xmlns="http://schemas.openxmlformats.org/officeDocument/2006/custom-properties" xmlns:vt="http://schemas.openxmlformats.org/officeDocument/2006/docPropsVTypes"/>
</file>