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RESOLVING DISPUTES</w:t>
      </w:r>
    </w:p>
    <w:p>
      <w:pPr>
        <w:spacing w:after="260"/>
        <w:jc w:val="center"/>
      </w:pPr>
      <w:r>
        <w:rPr>
          <w:rFonts w:ascii="Calibri" w:cs="Calibri" w:eastAsia="Calibri" w:hAnsi="Calibri"/>
          <w:i/>
          <w:iCs/>
          <w:color w:val="6E7480"/>
          <w:sz w:val="19"/>
          <w:szCs w:val="19"/>
        </w:rPr>
        <w:t xml:space="preserve">Forum, arbitration and enforcement in the UAE</w:t>
      </w:r>
    </w:p>
    <w:p>
      <w:pPr>
        <w:spacing w:after="180" w:before="0" w:line="276"/>
        <w:jc w:val="both"/>
      </w:pPr>
      <w:r>
        <w:rPr>
          <w:rFonts w:ascii="Calibri" w:cs="Calibri" w:eastAsia="Calibri" w:hAnsi="Calibri"/>
          <w:i/>
          <w:iCs/>
          <w:color w:val="6E7480"/>
          <w:sz w:val="21"/>
          <w:szCs w:val="21"/>
        </w:rPr>
        <w:t xml:space="preserve">The choice made when the contract was signed decides most of what happens now. </w:t>
      </w:r>
      <w:r>
        <w:rPr>
          <w:rFonts w:ascii="Calibri" w:cs="Calibri" w:eastAsia="Calibri" w:hAnsi="Calibri"/>
          <w:b/>
          <w:bCs/>
          <w:i/>
          <w:iCs/>
          <w:color w:val="6E7480"/>
          <w:sz w:val="21"/>
          <w:szCs w:val="21"/>
        </w:rPr>
        <w:t xml:space="preserve">Onshore courts run in Arabic</w:t>
      </w:r>
      <w:r>
        <w:rPr>
          <w:rFonts w:ascii="Calibri" w:cs="Calibri" w:eastAsia="Calibri" w:hAnsi="Calibri"/>
          <w:i/>
          <w:iCs/>
          <w:color w:val="6E7480"/>
          <w:sz w:val="21"/>
          <w:szCs w:val="21"/>
        </w:rPr>
        <w:t xml:space="preserve"> with legally translated documents and no cross-examination as common-law practitioners know it. </w:t>
      </w:r>
      <w:r>
        <w:rPr>
          <w:rFonts w:ascii="Calibri" w:cs="Calibri" w:eastAsia="Calibri" w:hAnsi="Calibri"/>
          <w:b/>
          <w:bCs/>
          <w:i/>
          <w:iCs/>
          <w:color w:val="6E7480"/>
          <w:sz w:val="21"/>
          <w:szCs w:val="21"/>
        </w:rPr>
        <w:t xml:space="preserve">DIFC and ADGM courts run in English</w:t>
      </w:r>
      <w:r>
        <w:rPr>
          <w:rFonts w:ascii="Calibri" w:cs="Calibri" w:eastAsia="Calibri" w:hAnsi="Calibri"/>
          <w:i/>
          <w:iCs/>
          <w:color w:val="6E7480"/>
          <w:sz w:val="21"/>
          <w:szCs w:val="21"/>
        </w:rPr>
        <w:t xml:space="preserve"> under common law. Arbitration is a third path with its own economics. Choose deliberately at drafting, not at dispute.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Our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Counterparty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[jurisdiction]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Governing law clause says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Forum clause says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there an arbitration agreement?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quote 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in dispute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[Cheques / guarantee / charge / none]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Limitation position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[ASSESS — varies by claim type]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Advice taken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FORUMS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2698"/>
        <w:gridCol w:w="2698"/>
        <w:gridCol w:w="2700"/>
      </w:tblGrid>
      <w:tr>
        <w:trPr>
          <w:cantSplit/>
          <w:tblHeader/>
        </w:trPr>
        <w:tc>
          <w:tcPr>
            <w:tcW w:type="dxa" w:w="1542"/>
            <w:shd w:fill="EEF1FE" w:color="auto" w:val="clear"/>
            <w:tcMar>
              <w:top w:type="dxa" w:w="70"/>
              <w:left w:type="dxa" w:w="100"/>
              <w:bottom w:type="dxa" w:w="70"/>
              <w:right w:type="dxa" w:w="100"/>
            </w:tcMar>
            <w:vAlign w:val="center"/>
          </w:tcPr>
          <w:p>
            <w:pPr>
              <w:spacing w:after="0" w:line="240"/>
              <w:jc w:val="left"/>
            </w:pP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Onshore courts</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DIFC / ADGM courts</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Arbitration</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Language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Arabic</w:t>
            </w:r>
            <w:r>
              <w:rPr>
                <w:rFonts w:ascii="Calibri" w:cs="Calibri" w:eastAsia="Calibri" w:hAnsi="Calibri"/>
                <w:sz w:val="16"/>
                <w:szCs w:val="16"/>
              </w:rPr>
              <w:t xml:space="preserve"> — documents legally translated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English</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[As agreed]</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Tradition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Civil law</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Common law</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agreed</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Evidence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Largely documentary; experts appointed by the court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Disclosure and witness evidence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agreed</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Cross-examination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as common-law practitioners expect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Usually</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Cost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[Lower fees, translation cost]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[Higher]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[Often highest]</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Speed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[Several stages; expert reports]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[Structured timetable]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[Depends on the tribunal]</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Privacy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Public</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Public</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Private</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Appeal</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Multiple levels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Structured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Very limited</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Enforcement abroad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[Treaty dependent]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[Treaty and gateway routes]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New York Convention</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Onshore parties and assets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Financial free zone connections; English-language disputes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Cross-border, technical or confidential disputes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Translation is a real line item, not a formality. A document-heavy onshore claim requires legally translated contracts, correspondence, invoices and expert reports. Budget it and factor it into any settlement calculation.</w:t>
      </w:r>
    </w:p>
    <w:p>
      <w:pPr>
        <w:keepNext/>
        <w:spacing w:after="120" w:before="280"/>
        <w:outlineLvl w:val="0"/>
      </w:pPr>
      <w:r>
        <w:rPr>
          <w:rFonts w:ascii="Calibri" w:cs="Calibri" w:eastAsia="Calibri" w:hAnsi="Calibri"/>
          <w:b/>
          <w:bCs/>
          <w:color w:val="14161B"/>
          <w:sz w:val="22"/>
          <w:szCs w:val="22"/>
        </w:rPr>
        <w:t xml:space="preserve">2. BEFORE DOING ANYTHING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5591"/>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Read the dispute resolution clause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Commencing in the wrong forum wastes the fee and can attract costs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mandatory pre-action step — negotiation, mediation, expert?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Skipping it can lead to a stay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correct legal entity identified?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Trading names are not entities; group affiliates are not each other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claim within limitation?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Periods vary by claim type and can be short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counterparty solvent and worth pursuing?</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judgment against an empty company is a cost, not a recovery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security do we hold?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Cheques, guarantees and charges change the strategy entirely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our own obligations fully performed?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standard defence and counterclaim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documents complete and consistent?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Gaps and inconsistencies decide document-led cases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an Arabic version, and does it differ?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Arabic governs onshore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relationship worth preserving?</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whether to negotiate or file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Check the Arabic.</w:t>
      </w:r>
      <w:r>
        <w:rPr>
          <w:rFonts w:ascii="Calibri" w:cs="Calibri" w:eastAsia="Calibri" w:hAnsi="Calibri"/>
          <w:sz w:val="21"/>
          <w:szCs w:val="21"/>
        </w:rPr>
        <w:t xml:space="preserve"> Where the contract exists in both languages and the forum is onshore, the Arabic prevails. A party that has only ever read the English may be relying on terms that do not exist in the operative text.</w:t>
      </w:r>
    </w:p>
    <w:p>
      <w:pPr>
        <w:keepNext/>
        <w:spacing w:after="120" w:before="280"/>
        <w:outlineLvl w:val="0"/>
      </w:pPr>
      <w:r>
        <w:rPr>
          <w:rFonts w:ascii="Calibri" w:cs="Calibri" w:eastAsia="Calibri" w:hAnsi="Calibri"/>
          <w:b/>
          <w:bCs/>
          <w:color w:val="14161B"/>
          <w:sz w:val="22"/>
          <w:szCs w:val="22"/>
        </w:rPr>
        <w:t xml:space="preserve">3. INTERIM AND PRECAUTIONARY MEASURES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there is a real risk that assets will be dissipated, a </w:t>
      </w:r>
      <w:r>
        <w:rPr>
          <w:rFonts w:ascii="Calibri" w:cs="Calibri" w:eastAsia="Calibri" w:hAnsi="Calibri"/>
          <w:b/>
          <w:bCs/>
          <w:sz w:val="21"/>
          <w:szCs w:val="21"/>
        </w:rPr>
        <w:t xml:space="preserve">precautionary attachment</w:t>
      </w:r>
      <w:r>
        <w:rPr>
          <w:rFonts w:ascii="Calibri" w:cs="Calibri" w:eastAsia="Calibri" w:hAnsi="Calibri"/>
          <w:sz w:val="21"/>
          <w:szCs w:val="21"/>
        </w:rPr>
        <w:t xml:space="preserve"> may be available onshore to freeze assets pending the substantive claim.</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DIFC and ADGM courts offer interim relief in a common-law form, including injunctions and freezing orders.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Arbitral tribunals can grant interim measures, and emergency arbitrator provisions exist under several rules — useful where the need is urgent and the tribunal is not yet constituted.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Applications of this kind usually require security or an undertaking, and they are granted on evidence of genuine risk rather than convenience. Take advice quickly — delay itself undermines the argument that the matter is urgent.</w:t>
      </w:r>
    </w:p>
    <w:p>
      <w:pPr>
        <w:keepNext/>
        <w:spacing w:after="120" w:before="280"/>
        <w:outlineLvl w:val="0"/>
      </w:pPr>
      <w:r>
        <w:rPr>
          <w:rFonts w:ascii="Calibri" w:cs="Calibri" w:eastAsia="Calibri" w:hAnsi="Calibri"/>
          <w:b/>
          <w:bCs/>
          <w:color w:val="14161B"/>
          <w:sz w:val="22"/>
          <w:szCs w:val="22"/>
        </w:rPr>
        <w:t xml:space="preserve">4. EMPLOYMENT DISPUTES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Employment disputes on the mainland go to </w:t>
      </w:r>
      <w:r>
        <w:rPr>
          <w:rFonts w:ascii="Calibri" w:cs="Calibri" w:eastAsia="Calibri" w:hAnsi="Calibri"/>
          <w:b/>
          <w:bCs/>
          <w:sz w:val="21"/>
          <w:szCs w:val="21"/>
        </w:rPr>
        <w:t xml:space="preserve">MOHRE</w:t>
      </w:r>
      <w:r>
        <w:rPr>
          <w:rFonts w:ascii="Calibri" w:cs="Calibri" w:eastAsia="Calibri" w:hAnsi="Calibri"/>
          <w:sz w:val="21"/>
          <w:szCs w:val="21"/>
        </w:rPr>
        <w:t xml:space="preserve"> first, which attempts resolution before the matter reaches a court.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Free zones may operate their own process; </w:t>
      </w:r>
      <w:r>
        <w:rPr>
          <w:rFonts w:ascii="Calibri" w:cs="Calibri" w:eastAsia="Calibri" w:hAnsi="Calibri"/>
          <w:b/>
          <w:bCs/>
          <w:sz w:val="21"/>
          <w:szCs w:val="21"/>
        </w:rPr>
        <w:t xml:space="preserve">DIFC and ADGM employment claims go to their own courts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employer’s file — the registered contract, WPS records, warnings, investigation notes, the employee’s response, the settlement calculation — is what decides the outcome. Assemble it as events happen, not when a claim arrives.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Withholding end-of-service entitlements as leverage in an employment dispute is itself a breach, and it converts one claim into two.</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SETTLEMENT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Most commercial disputes settle. Settling early is usually cheaper than being right late.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462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 a settlement agreement</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correct parties precisely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Including group entities being released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Define the claims released</w:t>
            </w:r>
            <w:r>
              <w:rPr>
                <w:rFonts w:ascii="Calibri" w:cs="Calibri" w:eastAsia="Calibri" w:hAnsi="Calibri"/>
                <w:sz w:val="17"/>
                <w:szCs w:val="17"/>
              </w:rPr>
              <w:t xml:space="preserve"> — and any carved out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vague release is litigated later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amount, currency, date and account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happens on non-payment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Reinstated claim, judgment by consent, cheque enforcement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any security — cheques, guarantees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Routinely forgotten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Withdrawal or discontinuance of proceedings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who bears filed costs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Confidentiality, and whether either side may comment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admission of liability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Governing law and forum for the settlement itself</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settlement can generate its own dispute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Arabic version where the forum is onshore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prevails</w:t>
            </w:r>
          </w:p>
        </w:tc>
      </w:tr>
    </w:tbl>
    <w:p>
      <w:pPr>
        <w:spacing w:after="140"/>
      </w:pP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i/>
          <w:iCs/>
          <w:sz w:val="21"/>
          <w:szCs w:val="21"/>
        </w:rPr>
        <w:t xml:space="preserve">Item 5 matters more than it looks. A settlement that resolves the claim but leaves the other side holding security cheques has not resolved the exposure.</w:t>
      </w:r>
    </w:p>
    <w:p>
      <w:pPr>
        <w:keepNext/>
        <w:spacing w:after="120" w:before="280"/>
        <w:outlineLvl w:val="0"/>
      </w:pPr>
      <w:r>
        <w:rPr>
          <w:rFonts w:ascii="Calibri" w:cs="Calibri" w:eastAsia="Calibri" w:hAnsi="Calibri"/>
          <w:b/>
          <w:bCs/>
          <w:color w:val="14161B"/>
          <w:sz w:val="22"/>
          <w:szCs w:val="22"/>
        </w:rPr>
        <w:t xml:space="preserve">6. ENFORCEMENT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Onshore judgment, onshore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Execution through the onshore courts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or ADGM judgment, onshore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Recognition and enforcement through the gateway arrangements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Onshore judgment, DIFC or ADGM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corresponding route in reverse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Arbitral award, UAE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Ratification and enforcement — the </w:t>
            </w:r>
            <w:r>
              <w:rPr>
                <w:rFonts w:ascii="Calibri" w:cs="Calibri" w:eastAsia="Calibri" w:hAnsi="Calibri"/>
                <w:b/>
                <w:bCs/>
                <w:sz w:val="18"/>
                <w:szCs w:val="18"/>
              </w:rPr>
              <w:t xml:space="preserve">New York Convention</w:t>
            </w:r>
            <w:r>
              <w:rPr>
                <w:rFonts w:ascii="Calibri" w:cs="Calibri" w:eastAsia="Calibri" w:hAnsi="Calibri"/>
                <w:sz w:val="18"/>
                <w:szCs w:val="18"/>
              </w:rPr>
              <w:t xml:space="preserve"> applies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judgment, foreign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Depends on treaties and the local rules of that country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judgment, UAE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Depends on treaties and reciprocity — </w:t>
            </w:r>
            <w:r>
              <w:rPr>
                <w:rFonts w:ascii="Calibri" w:cs="Calibri" w:eastAsia="Calibri" w:hAnsi="Calibri"/>
                <w:b/>
                <w:bCs/>
                <w:sz w:val="18"/>
                <w:szCs w:val="18"/>
              </w:rPr>
              <w:t xml:space="preserve">take advice before assuming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Dishonoured cheque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Reformed in 2022; a cheque may be an instrument of execution — </w:t>
            </w:r>
            <w:r>
              <w:rPr>
                <w:rFonts w:ascii="Calibri" w:cs="Calibri" w:eastAsia="Calibri" w:hAnsi="Calibri"/>
                <w:b/>
                <w:bCs/>
                <w:sz w:val="18"/>
                <w:szCs w:val="18"/>
              </w:rPr>
              <w:t xml:space="preserve">confirm the current route</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Enforceability is a drafting question, not a post-judgment one. A clause choosing a forum whose judgments cannot readily be enforced where the counterparty’s assets sit produces a paper victory.</w:t>
      </w:r>
    </w:p>
    <w:p>
      <w:pPr>
        <w:keepNext/>
        <w:spacing w:after="120" w:before="280"/>
        <w:outlineLvl w:val="0"/>
      </w:pPr>
      <w:r>
        <w:rPr>
          <w:rFonts w:ascii="Calibri" w:cs="Calibri" w:eastAsia="Calibri" w:hAnsi="Calibri"/>
          <w:b/>
          <w:bCs/>
          <w:color w:val="14161B"/>
          <w:sz w:val="22"/>
          <w:szCs w:val="22"/>
        </w:rPr>
        <w:t xml:space="preserve">7. CHOOSING THE CLAUSE AT DRAFTING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If…</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Both parties and all assets are onshore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Onshore courts — simplest and cheapest to enforce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party is in DIFC or ADGM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Those courts — English language, common law, familiar remedies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counterparty is foreign with foreign assets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Arbitration</w:t>
            </w:r>
            <w:r>
              <w:rPr>
                <w:rFonts w:ascii="Calibri" w:cs="Calibri" w:eastAsia="Calibri" w:hAnsi="Calibri"/>
                <w:sz w:val="18"/>
                <w:szCs w:val="18"/>
              </w:rPr>
              <w:t xml:space="preserve"> — New York Convention enforcement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dispute would be technical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Arbitration with an expert tribunal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Confidentiality matters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Arbitration — court proceedings are public</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amounts are small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Onshore courts — arbitration is disproportionate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 may need urgent relief</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where relief can be obtained fastest against the assets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forum clause decides most of what follows</w:t>
      </w:r>
    </w:p>
    <w:p>
      <w:pPr>
        <w:spacing w:after="60" w:line="264"/>
        <w:jc w:val="both"/>
      </w:pPr>
      <w:r>
        <w:rPr>
          <w:rFonts w:ascii="Calibri" w:cs="Calibri" w:eastAsia="Calibri" w:hAnsi="Calibri"/>
          <w:sz w:val="19"/>
          <w:szCs w:val="19"/>
        </w:rPr>
        <w:t xml:space="preserve">Language, procedure, cost, speed, privacy and enforceability all flow from a clause agreed when nobody expected a dispute. Choose it against where the counterparty’s assets sit and what kind of dispute is plausible, not by copying a precedent.</w:t>
      </w:r>
    </w:p>
    <w:p>
      <w:pPr>
        <w:keepNext/>
        <w:spacing w:after="40" w:before="140"/>
      </w:pPr>
      <w:r>
        <w:rPr>
          <w:rFonts w:ascii="Calibri" w:cs="Calibri" w:eastAsia="Calibri" w:hAnsi="Calibri"/>
          <w:b/>
          <w:bCs/>
          <w:color w:val="14161B"/>
          <w:sz w:val="20"/>
          <w:szCs w:val="20"/>
        </w:rPr>
        <w:t xml:space="preserve">Onshore proceedings run in Arabic</w:t>
      </w:r>
    </w:p>
    <w:p>
      <w:pPr>
        <w:spacing w:after="60" w:line="264"/>
        <w:jc w:val="both"/>
      </w:pPr>
      <w:r>
        <w:rPr>
          <w:rFonts w:ascii="Calibri" w:cs="Calibri" w:eastAsia="Calibri" w:hAnsi="Calibri"/>
          <w:sz w:val="19"/>
          <w:szCs w:val="19"/>
        </w:rPr>
        <w:t xml:space="preserve">Contracts, correspondence, invoices and expert reports all require legal translation, which is a real cost and a real delay on a document-heavy claim. Factor it into both the decision to litigate and the settlement calculation.</w:t>
      </w:r>
    </w:p>
    <w:p>
      <w:pPr>
        <w:keepNext/>
        <w:spacing w:after="40" w:before="140"/>
      </w:pPr>
      <w:r>
        <w:rPr>
          <w:rFonts w:ascii="Calibri" w:cs="Calibri" w:eastAsia="Calibri" w:hAnsi="Calibri"/>
          <w:b/>
          <w:bCs/>
          <w:color w:val="14161B"/>
          <w:sz w:val="20"/>
          <w:szCs w:val="20"/>
        </w:rPr>
        <w:t xml:space="preserve">Check the Arabic version before relying on the English</w:t>
      </w:r>
    </w:p>
    <w:p>
      <w:pPr>
        <w:spacing w:after="60" w:line="264"/>
        <w:jc w:val="both"/>
      </w:pPr>
      <w:r>
        <w:rPr>
          <w:rFonts w:ascii="Calibri" w:cs="Calibri" w:eastAsia="Calibri" w:hAnsi="Calibri"/>
          <w:sz w:val="19"/>
          <w:szCs w:val="19"/>
        </w:rPr>
        <w:t xml:space="preserve">Where a bilingual contract is governed by onshore law, the Arabic prevails. A party that has only read the English may discover it is relying on terms that differ in the operative text. Have it read before filing, not after.</w:t>
      </w:r>
    </w:p>
    <w:p>
      <w:pPr>
        <w:keepNext/>
        <w:spacing w:after="40" w:before="140"/>
      </w:pPr>
      <w:r>
        <w:rPr>
          <w:rFonts w:ascii="Calibri" w:cs="Calibri" w:eastAsia="Calibri" w:hAnsi="Calibri"/>
          <w:b/>
          <w:bCs/>
          <w:color w:val="14161B"/>
          <w:sz w:val="20"/>
          <w:szCs w:val="20"/>
        </w:rPr>
        <w:t xml:space="preserve">Read the dispute resolution clause first</w:t>
      </w:r>
    </w:p>
    <w:p>
      <w:pPr>
        <w:spacing w:after="60" w:line="264"/>
        <w:jc w:val="both"/>
      </w:pPr>
      <w:r>
        <w:rPr>
          <w:rFonts w:ascii="Calibri" w:cs="Calibri" w:eastAsia="Calibri" w:hAnsi="Calibri"/>
          <w:sz w:val="19"/>
          <w:szCs w:val="19"/>
        </w:rPr>
        <w:t xml:space="preserve">Commencing in court in breach of an arbitration agreement can lead to a stay and an adverse costs order. Mandatory pre-action steps — negotiation, mediation, expert determination — have the same effect if skipped. This is the cheapest check available.</w:t>
      </w:r>
    </w:p>
    <w:p>
      <w:pPr>
        <w:keepNext/>
        <w:spacing w:after="40" w:before="140"/>
      </w:pPr>
      <w:r>
        <w:rPr>
          <w:rFonts w:ascii="Calibri" w:cs="Calibri" w:eastAsia="Calibri" w:hAnsi="Calibri"/>
          <w:b/>
          <w:bCs/>
          <w:color w:val="14161B"/>
          <w:sz w:val="20"/>
          <w:szCs w:val="20"/>
        </w:rPr>
        <w:t xml:space="preserve">Name the right entity</w:t>
      </w:r>
    </w:p>
    <w:p>
      <w:pPr>
        <w:spacing w:after="60" w:line="264"/>
        <w:jc w:val="both"/>
      </w:pPr>
      <w:r>
        <w:rPr>
          <w:rFonts w:ascii="Calibri" w:cs="Calibri" w:eastAsia="Calibri" w:hAnsi="Calibri"/>
          <w:sz w:val="19"/>
          <w:szCs w:val="19"/>
        </w:rPr>
        <w:t xml:space="preserve">Trading names are not legal entities, and group affiliates are not interchangeable. Take the details from the current trade licence. Suing the wrong party wastes the filing and can put the claim outside limitation by the time it is corrected.</w:t>
      </w:r>
    </w:p>
    <w:p>
      <w:pPr>
        <w:keepNext/>
        <w:spacing w:after="40" w:before="140"/>
      </w:pPr>
      <w:r>
        <w:rPr>
          <w:rFonts w:ascii="Calibri" w:cs="Calibri" w:eastAsia="Calibri" w:hAnsi="Calibri"/>
          <w:b/>
          <w:bCs/>
          <w:color w:val="14161B"/>
          <w:sz w:val="20"/>
          <w:szCs w:val="20"/>
        </w:rPr>
        <w:t xml:space="preserve">Assess recoverability before spending</w:t>
      </w:r>
    </w:p>
    <w:p>
      <w:pPr>
        <w:spacing w:after="60" w:line="264"/>
        <w:jc w:val="both"/>
      </w:pPr>
      <w:r>
        <w:rPr>
          <w:rFonts w:ascii="Calibri" w:cs="Calibri" w:eastAsia="Calibri" w:hAnsi="Calibri"/>
          <w:sz w:val="19"/>
          <w:szCs w:val="19"/>
        </w:rPr>
        <w:t xml:space="preserve">A judgment against a company with no assets is a cost, not a recovery, and enforcement against a counterparty who has left the UAE is harder still. Check standing, licence status and known enforcement before committing.</w:t>
      </w:r>
    </w:p>
    <w:p>
      <w:pPr>
        <w:keepNext/>
        <w:spacing w:after="40" w:before="140"/>
      </w:pPr>
      <w:r>
        <w:rPr>
          <w:rFonts w:ascii="Calibri" w:cs="Calibri" w:eastAsia="Calibri" w:hAnsi="Calibri"/>
          <w:b/>
          <w:bCs/>
          <w:color w:val="14161B"/>
          <w:sz w:val="20"/>
          <w:szCs w:val="20"/>
        </w:rPr>
        <w:t xml:space="preserve">Security changes the strategy completely</w:t>
      </w:r>
    </w:p>
    <w:p>
      <w:pPr>
        <w:spacing w:after="60" w:line="264"/>
        <w:jc w:val="both"/>
      </w:pPr>
      <w:r>
        <w:rPr>
          <w:rFonts w:ascii="Calibri" w:cs="Calibri" w:eastAsia="Calibri" w:hAnsi="Calibri"/>
          <w:sz w:val="19"/>
          <w:szCs w:val="19"/>
        </w:rPr>
        <w:t xml:space="preserve">Cheques, a guarantee or a registered charge may offer a faster route than a substantive claim. Establish what security exists before choosing a strategy — the answer often makes litigation unnecessary.</w:t>
      </w:r>
    </w:p>
    <w:p>
      <w:pPr>
        <w:keepNext/>
        <w:spacing w:after="40" w:before="140"/>
      </w:pPr>
      <w:r>
        <w:rPr>
          <w:rFonts w:ascii="Calibri" w:cs="Calibri" w:eastAsia="Calibri" w:hAnsi="Calibri"/>
          <w:b/>
          <w:bCs/>
          <w:color w:val="14161B"/>
          <w:sz w:val="20"/>
          <w:szCs w:val="20"/>
        </w:rPr>
        <w:t xml:space="preserve">Precautionary attachment needs speed and evidence</w:t>
      </w:r>
    </w:p>
    <w:p>
      <w:pPr>
        <w:spacing w:after="60" w:line="264"/>
        <w:jc w:val="both"/>
      </w:pPr>
      <w:r>
        <w:rPr>
          <w:rFonts w:ascii="Calibri" w:cs="Calibri" w:eastAsia="Calibri" w:hAnsi="Calibri"/>
          <w:sz w:val="19"/>
          <w:szCs w:val="19"/>
        </w:rPr>
        <w:t xml:space="preserve">Freezing assets requires evidence of genuine risk of dissipation, usually security or an undertaking, and prompt action. Delay itself undermines the urgency argument. Take advice within days, not weeks.</w:t>
      </w:r>
    </w:p>
    <w:p>
      <w:pPr>
        <w:keepNext/>
        <w:spacing w:after="40" w:before="140"/>
      </w:pPr>
      <w:r>
        <w:rPr>
          <w:rFonts w:ascii="Calibri" w:cs="Calibri" w:eastAsia="Calibri" w:hAnsi="Calibri"/>
          <w:b/>
          <w:bCs/>
          <w:color w:val="14161B"/>
          <w:sz w:val="20"/>
          <w:szCs w:val="20"/>
        </w:rPr>
        <w:t xml:space="preserve">Employment disputes go through MOHRE first</w:t>
      </w:r>
    </w:p>
    <w:p>
      <w:pPr>
        <w:spacing w:after="60" w:line="264"/>
        <w:jc w:val="both"/>
      </w:pPr>
      <w:r>
        <w:rPr>
          <w:rFonts w:ascii="Calibri" w:cs="Calibri" w:eastAsia="Calibri" w:hAnsi="Calibri"/>
          <w:sz w:val="19"/>
          <w:szCs w:val="19"/>
        </w:rPr>
        <w:t xml:space="preserve">On the mainland, MOHRE attempts resolution before the courts. What decides the outcome is the employer’s file — registered contract, WPS records, warnings, investigation notes, the employee’s response, the settlement calculation. Assemble it as events happen.</w:t>
      </w:r>
    </w:p>
    <w:p>
      <w:pPr>
        <w:keepNext/>
        <w:spacing w:after="40" w:before="140"/>
      </w:pPr>
      <w:r>
        <w:rPr>
          <w:rFonts w:ascii="Calibri" w:cs="Calibri" w:eastAsia="Calibri" w:hAnsi="Calibri"/>
          <w:b/>
          <w:bCs/>
          <w:color w:val="14161B"/>
          <w:sz w:val="20"/>
          <w:szCs w:val="20"/>
        </w:rPr>
        <w:t xml:space="preserve">Do not withhold entitlements as leverage</w:t>
      </w:r>
    </w:p>
    <w:p>
      <w:pPr>
        <w:spacing w:after="60" w:line="264"/>
        <w:jc w:val="both"/>
      </w:pPr>
      <w:r>
        <w:rPr>
          <w:rFonts w:ascii="Calibri" w:cs="Calibri" w:eastAsia="Calibri" w:hAnsi="Calibri"/>
          <w:sz w:val="19"/>
          <w:szCs w:val="19"/>
        </w:rPr>
        <w:t xml:space="preserve">End-of-service sums are due within 14 days regardless of any dispute. Withholding them to gain negotiating position is itself a breach and turns one claim into two, with the employer starting from a worse place.</w:t>
      </w:r>
    </w:p>
    <w:p>
      <w:pPr>
        <w:keepNext/>
        <w:spacing w:after="40" w:before="140"/>
      </w:pPr>
      <w:r>
        <w:rPr>
          <w:rFonts w:ascii="Calibri" w:cs="Calibri" w:eastAsia="Calibri" w:hAnsi="Calibri"/>
          <w:b/>
          <w:bCs/>
          <w:color w:val="14161B"/>
          <w:sz w:val="20"/>
          <w:szCs w:val="20"/>
        </w:rPr>
        <w:t xml:space="preserve">Define the release precisely in a settlement</w:t>
      </w:r>
    </w:p>
    <w:p>
      <w:pPr>
        <w:spacing w:after="60" w:line="264"/>
        <w:jc w:val="both"/>
      </w:pPr>
      <w:r>
        <w:rPr>
          <w:rFonts w:ascii="Calibri" w:cs="Calibri" w:eastAsia="Calibri" w:hAnsi="Calibri"/>
          <w:sz w:val="19"/>
          <w:szCs w:val="19"/>
        </w:rPr>
        <w:t xml:space="preserve">A vague release generates the next dispute. Identify the parties, the claims released, anything carved out, and what happens on non-payment. A settlement is a contract and can produce its own litigation.</w:t>
      </w:r>
    </w:p>
    <w:p>
      <w:pPr>
        <w:keepNext/>
        <w:spacing w:after="40" w:before="140"/>
      </w:pPr>
      <w:r>
        <w:rPr>
          <w:rFonts w:ascii="Calibri" w:cs="Calibri" w:eastAsia="Calibri" w:hAnsi="Calibri"/>
          <w:b/>
          <w:bCs/>
          <w:color w:val="14161B"/>
          <w:sz w:val="20"/>
          <w:szCs w:val="20"/>
        </w:rPr>
        <w:t xml:space="preserve">Recover security on settlement</w:t>
      </w:r>
    </w:p>
    <w:p>
      <w:pPr>
        <w:spacing w:after="60" w:line="264"/>
        <w:jc w:val="both"/>
      </w:pPr>
      <w:r>
        <w:rPr>
          <w:rFonts w:ascii="Calibri" w:cs="Calibri" w:eastAsia="Calibri" w:hAnsi="Calibri"/>
          <w:sz w:val="19"/>
          <w:szCs w:val="19"/>
        </w:rPr>
        <w:t xml:space="preserve">A settlement resolving the claim while the other side still holds cheques or a guarantee has not resolved the exposure. Make return of security an express term with written confirmation.</w:t>
      </w:r>
    </w:p>
    <w:p>
      <w:pPr>
        <w:keepNext/>
        <w:spacing w:after="40" w:before="140"/>
      </w:pPr>
      <w:r>
        <w:rPr>
          <w:rFonts w:ascii="Calibri" w:cs="Calibri" w:eastAsia="Calibri" w:hAnsi="Calibri"/>
          <w:b/>
          <w:bCs/>
          <w:color w:val="14161B"/>
          <w:sz w:val="20"/>
          <w:szCs w:val="20"/>
        </w:rPr>
        <w:t xml:space="preserve">Enforceability is a drafting question</w:t>
      </w:r>
    </w:p>
    <w:p>
      <w:pPr>
        <w:spacing w:after="60" w:line="264"/>
        <w:jc w:val="both"/>
      </w:pPr>
      <w:r>
        <w:rPr>
          <w:rFonts w:ascii="Calibri" w:cs="Calibri" w:eastAsia="Calibri" w:hAnsi="Calibri"/>
          <w:sz w:val="19"/>
          <w:szCs w:val="19"/>
        </w:rPr>
        <w:t xml:space="preserve">Choosing a forum whose judgments cannot readily be enforced where the assets sit produces a paper victory. Arbitral awards benefit from New York Convention enforcement, which is often the deciding factor with foreign counterparties.</w:t>
      </w:r>
    </w:p>
    <w:p>
      <w:pPr>
        <w:keepNext/>
        <w:spacing w:after="40" w:before="140"/>
      </w:pPr>
      <w:r>
        <w:rPr>
          <w:rFonts w:ascii="Calibri" w:cs="Calibri" w:eastAsia="Calibri" w:hAnsi="Calibri"/>
          <w:b/>
          <w:bCs/>
          <w:color w:val="14161B"/>
          <w:sz w:val="20"/>
          <w:szCs w:val="20"/>
        </w:rPr>
        <w:t xml:space="preserve">Settle early where the numbers support it</w:t>
      </w:r>
    </w:p>
    <w:p>
      <w:pPr>
        <w:spacing w:after="60" w:line="264"/>
        <w:jc w:val="both"/>
      </w:pPr>
      <w:r>
        <w:rPr>
          <w:rFonts w:ascii="Calibri" w:cs="Calibri" w:eastAsia="Calibri" w:hAnsi="Calibri"/>
          <w:sz w:val="19"/>
          <w:szCs w:val="19"/>
        </w:rPr>
        <w:t xml:space="preserve">Most commercial disputes settle, and settling early is usually cheaper than being right late — particularly onshore, where translation and expert stages add cost before any hearing. Model the realistic recovery net of cost and time before filing.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Court procedures, DIFC and ADGM jurisdiction and enforcement gateways, arbitration frameworks, limitation periods and the enforcement of dishonoured cheques all change — take UAE legal advice before commencing or defending any material claim.</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2026-08-23T16:28:35.924Z</dcterms:created>
  <dcterms:modified xsi:type="dcterms:W3CDTF">2026-08-23T16:28:35.924Z</dcterms:modified>
</cp:coreProperties>
</file>

<file path=docProps/custom.xml><?xml version="1.0" encoding="utf-8"?>
<Properties xmlns="http://schemas.openxmlformats.org/officeDocument/2006/custom-properties" xmlns:vt="http://schemas.openxmlformats.org/officeDocument/2006/docPropsVTypes"/>
</file>