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RESOLUTIONS</w:t>
      </w:r>
    </w:p>
    <w:p>
      <w:pPr>
        <w:spacing w:after="260"/>
        <w:jc w:val="center"/>
      </w:pPr>
      <w:r>
        <w:rPr>
          <w:rFonts w:ascii="Calibri" w:cs="Calibri" w:eastAsia="Calibri" w:hAnsi="Calibri"/>
          <w:i/>
          <w:iCs/>
          <w:color w:val="6E7480"/>
          <w:sz w:val="19"/>
          <w:szCs w:val="19"/>
        </w:rPr>
        <w:t xml:space="preserve">Board, manager and shareholder decisions</w:t>
      </w:r>
    </w:p>
    <w:p>
      <w:pPr>
        <w:spacing w:after="180" w:before="0" w:line="276"/>
        <w:jc w:val="both"/>
      </w:pPr>
      <w:r>
        <w:rPr>
          <w:rFonts w:ascii="Calibri" w:cs="Calibri" w:eastAsia="Calibri" w:hAnsi="Calibri"/>
          <w:i/>
          <w:iCs/>
          <w:color w:val="6E7480"/>
          <w:sz w:val="21"/>
          <w:szCs w:val="21"/>
        </w:rPr>
        <w:t xml:space="preserve">The question to ask before drafting any resolution here is: </w:t>
      </w:r>
      <w:r>
        <w:rPr>
          <w:rFonts w:ascii="Calibri" w:cs="Calibri" w:eastAsia="Calibri" w:hAnsi="Calibri"/>
          <w:b/>
          <w:bCs/>
          <w:i/>
          <w:iCs/>
          <w:color w:val="6E7480"/>
          <w:sz w:val="21"/>
          <w:szCs w:val="21"/>
        </w:rPr>
        <w:t xml:space="preserve">does this decision need a notary?</w:t>
      </w:r>
      <w:r>
        <w:rPr>
          <w:rFonts w:ascii="Calibri" w:cs="Calibri" w:eastAsia="Calibri" w:hAnsi="Calibri"/>
          <w:i/>
          <w:iCs/>
          <w:color w:val="6E7480"/>
          <w:sz w:val="21"/>
          <w:szCs w:val="21"/>
        </w:rPr>
        <w:t xml:space="preserve"> Ordinary operating decisions are recorded internally. Constitutional changes — shares, capital, managers, objects, name — require notarisation and authority approval before they take effect, however clearly the resolution is worded.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 / 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document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[Memorandum of Association / Articles]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Decision-making body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[Managers / Board of Directors / Shareholders]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Quorum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Threshold for this decision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[Simple majority / Higher — state 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Notarisation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see Section 1</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Authority approval required?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DED or zone]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Minute book reference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ROUTE THE DECISION TAKES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2313"/>
        <w:gridCol w:w="1734"/>
        <w:gridCol w:w="1929"/>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Body</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Notarised?</w:t>
            </w:r>
          </w:p>
        </w:tc>
        <w:tc>
          <w:tcPr>
            <w:tcW w:type="dxa" w:w="19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Opening a bank account and setting the mandate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Managers / Board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requirements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an auditor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annual accounts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[Filing where required]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Declaring a dividend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a contract above a threshold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Managers / Board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Granting a power of attorney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Managers / Board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Borrowing or granting security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 </w:t>
            </w:r>
            <w:r>
              <w:rPr>
                <w:rFonts w:ascii="Calibri" w:cs="Calibri" w:eastAsia="Calibri" w:hAnsi="Calibri"/>
                <w:b/>
                <w:bCs/>
                <w:sz w:val="17"/>
                <w:szCs w:val="17"/>
              </w:rPr>
              <w:t xml:space="preserve">[or Board]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[Depends]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[Charge registration]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Appointing or removing a manager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r>
              <w:rPr>
                <w:rFonts w:ascii="Calibri" w:cs="Calibri" w:eastAsia="Calibri" w:hAnsi="Calibri"/>
                <w:sz w:val="17"/>
                <w:szCs w:val="17"/>
              </w:rPr>
              <w:t xml:space="preserve"> — licence amendment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Issuing shares or changing capital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Transferring shares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r>
              <w:rPr>
                <w:rFonts w:ascii="Calibri" w:cs="Calibri" w:eastAsia="Calibri" w:hAnsi="Calibri"/>
                <w:sz w:val="17"/>
                <w:szCs w:val="17"/>
              </w:rPr>
              <w:t xml:space="preserve"> — plus pre-emption waivers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Amending the MOA or objects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Changing the company name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r>
              <w:rPr>
                <w:rFonts w:ascii="Calibri" w:cs="Calibri" w:eastAsia="Calibri" w:hAnsi="Calibri"/>
                <w:sz w:val="17"/>
                <w:szCs w:val="17"/>
              </w:rPr>
              <w:t xml:space="preserve"> — name reservation first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Changing the registered 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r>
              <w:rPr>
                <w:rFonts w:ascii="Calibri" w:cs="Calibri" w:eastAsia="Calibri" w:hAnsi="Calibri"/>
                <w:sz w:val="17"/>
                <w:szCs w:val="17"/>
              </w:rPr>
              <w:t xml:space="preserve"> — new tenancy and registration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Winding up</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c>
          <w:tcPr>
            <w:tcW w:type="dxa" w:w="19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In DIFC and ADGM most of the right-hand columns fall away — decisions are taken by board or shareholder resolution and recorded in the registers, common-law style. The notarisation burden is a mainland characteristic.</w:t>
      </w:r>
    </w:p>
    <w:p>
      <w:pPr>
        <w:keepNext/>
        <w:spacing w:after="120" w:before="280"/>
        <w:outlineLvl w:val="0"/>
      </w:pPr>
      <w:r>
        <w:rPr>
          <w:rFonts w:ascii="Calibri" w:cs="Calibri" w:eastAsia="Calibri" w:hAnsi="Calibri"/>
          <w:b/>
          <w:bCs/>
          <w:color w:val="14161B"/>
          <w:sz w:val="22"/>
          <w:szCs w:val="22"/>
        </w:rPr>
        <w:t xml:space="preserve">2. MANAGERS’ RESOLUTION — GENERAL FORM</w:t>
      </w:r>
    </w:p>
    <w:p>
      <w:pPr>
        <w:spacing w:after="11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  Licence: </w:t>
      </w:r>
      <w:r>
        <w:rPr>
          <w:rFonts w:ascii="Calibri" w:cs="Calibri" w:eastAsia="Calibri" w:hAnsi="Calibri"/>
          <w:b/>
          <w:bCs/>
          <w:sz w:val="21"/>
          <w:szCs w:val="21"/>
        </w:rPr>
        <w:t xml:space="preserve">[NUMBER]</w:t>
      </w:r>
    </w:p>
    <w:p>
      <w:pPr>
        <w:spacing w:after="130" w:before="0" w:line="276"/>
        <w:jc w:val="both"/>
      </w:pPr>
      <w:r>
        <w:rPr>
          <w:rFonts w:ascii="Calibri" w:cs="Calibri" w:eastAsia="Calibri" w:hAnsi="Calibri"/>
          <w:b/>
          <w:bCs/>
          <w:sz w:val="21"/>
          <w:szCs w:val="21"/>
        </w:rPr>
        <w:t xml:space="preserve">WRITTEN RESOLUTION OF THE </w:t>
      </w:r>
      <w:r>
        <w:rPr>
          <w:rFonts w:ascii="Calibri" w:cs="Calibri" w:eastAsia="Calibri" w:hAnsi="Calibri"/>
          <w:b/>
          <w:bCs/>
          <w:sz w:val="21"/>
          <w:szCs w:val="21"/>
        </w:rPr>
        <w:t xml:space="preserve">[MANAGERS / BOARD]</w:t>
      </w:r>
      <w:r>
        <w:rPr>
          <w:rFonts w:ascii="Calibri" w:cs="Calibri" w:eastAsia="Calibri" w:hAnsi="Calibri"/>
          <w:sz w:val="21"/>
          <w:szCs w:val="21"/>
        </w:rPr>
        <w:t xml:space="preserve">  Dated </w:t>
      </w:r>
      <w:r>
        <w:rPr>
          <w:rFonts w:ascii="Calibri" w:cs="Calibri" w:eastAsia="Calibri" w:hAnsi="Calibri"/>
          <w:b/>
          <w:bCs/>
          <w:sz w:val="21"/>
          <w:szCs w:val="21"/>
        </w:rPr>
        <w:t xml:space="preserve">[DATE]</w:t>
      </w:r>
    </w:p>
    <w:p>
      <w:pPr>
        <w:spacing w:after="110" w:before="0" w:line="276"/>
        <w:jc w:val="both"/>
      </w:pPr>
      <w:r>
        <w:rPr>
          <w:rFonts w:ascii="Calibri" w:cs="Calibri" w:eastAsia="Calibri" w:hAnsi="Calibri"/>
          <w:sz w:val="21"/>
          <w:szCs w:val="21"/>
        </w:rPr>
        <w:t xml:space="preserve">The undersigned, being </w:t>
      </w:r>
      <w:r>
        <w:rPr>
          <w:rFonts w:ascii="Calibri" w:cs="Calibri" w:eastAsia="Calibri" w:hAnsi="Calibri"/>
          <w:b/>
          <w:bCs/>
          <w:sz w:val="21"/>
          <w:szCs w:val="21"/>
        </w:rPr>
        <w:t xml:space="preserve">[all / a quorum of]</w:t>
      </w:r>
      <w:r>
        <w:rPr>
          <w:rFonts w:ascii="Calibri" w:cs="Calibri" w:eastAsia="Calibri" w:hAnsi="Calibri"/>
          <w:sz w:val="21"/>
          <w:szCs w:val="21"/>
        </w:rPr>
        <w:t xml:space="preserve"> the </w:t>
      </w:r>
      <w:r>
        <w:rPr>
          <w:rFonts w:ascii="Calibri" w:cs="Calibri" w:eastAsia="Calibri" w:hAnsi="Calibri"/>
          <w:b/>
          <w:bCs/>
          <w:sz w:val="21"/>
          <w:szCs w:val="21"/>
        </w:rPr>
        <w:t xml:space="preserve">[managers / directors]</w:t>
      </w:r>
      <w:r>
        <w:rPr>
          <w:rFonts w:ascii="Calibri" w:cs="Calibri" w:eastAsia="Calibri" w:hAnsi="Calibri"/>
          <w:sz w:val="21"/>
          <w:szCs w:val="21"/>
        </w:rPr>
        <w:t xml:space="preserve"> of the Company, resolve as follows:</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[THE DECISION, STATED IN ONE SENTENCE]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That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be authorised to sign all documents and take all steps necessary to give effect to resolution 1.</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That the Company Secretary, or </w:t>
      </w:r>
      <w:r>
        <w:rPr>
          <w:rFonts w:ascii="Calibri" w:cs="Calibri" w:eastAsia="Calibri" w:hAnsi="Calibri"/>
          <w:b/>
          <w:bCs/>
          <w:sz w:val="21"/>
          <w:szCs w:val="21"/>
        </w:rPr>
        <w:t xml:space="preserve">[NAME]</w:t>
      </w:r>
      <w:r>
        <w:rPr>
          <w:rFonts w:ascii="Calibri" w:cs="Calibri" w:eastAsia="Calibri" w:hAnsi="Calibri"/>
          <w:sz w:val="21"/>
          <w:szCs w:val="21"/>
        </w:rPr>
        <w:t xml:space="preserve">, be authorised to make any filing required.</w:t>
      </w:r>
    </w:p>
    <w:p>
      <w:pPr>
        <w:spacing w:after="140"/>
      </w:pPr>
    </w:p>
    <w:p>
      <w:pPr>
        <w:spacing w:after="90" w:before="0" w:line="276"/>
        <w:jc w:val="both"/>
      </w:pPr>
      <w:r>
        <w:rPr>
          <w:rFonts w:ascii="Calibri" w:cs="Calibri" w:eastAsia="Calibri" w:hAnsi="Calibri"/>
          <w:sz w:val="21"/>
          <w:szCs w:val="21"/>
        </w:rPr>
        <w:t xml:space="preserve">Signed: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[Manager / 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[Manager / 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3. BANK ACCOUNT AND MANDATE</w:t>
      </w:r>
    </w:p>
    <w:p>
      <w:pPr>
        <w:spacing w:after="9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 account be opened with </w:t>
      </w:r>
      <w:r>
        <w:rPr>
          <w:rFonts w:ascii="Calibri" w:cs="Calibri" w:eastAsia="Calibri" w:hAnsi="Calibri"/>
          <w:b/>
          <w:bCs/>
          <w:sz w:val="21"/>
          <w:szCs w:val="21"/>
        </w:rPr>
        <w:t xml:space="preserve">[BANK]</w:t>
      </w:r>
      <w:r>
        <w:rPr>
          <w:rFonts w:ascii="Calibri" w:cs="Calibri" w:eastAsia="Calibri" w:hAnsi="Calibri"/>
          <w:sz w:val="21"/>
          <w:szCs w:val="21"/>
        </w:rPr>
        <w:t xml:space="preserve"> in the name of the Company;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following be authorised signatories, on the mandate stated: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927"/>
        <w:gridCol w:w="1927"/>
        <w:gridCol w:w="1734"/>
        <w:gridCol w:w="1737"/>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Designation</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Authority</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Limit (AED)</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Specimen</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[Sole / Joint]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[Sole / Joint]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[Joint only]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_____________</w:t>
            </w:r>
          </w:p>
        </w:tc>
      </w:tr>
    </w:tbl>
    <w:p>
      <w:pPr>
        <w:spacing w:after="120"/>
      </w:pP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payments above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require </w:t>
      </w:r>
      <w:r>
        <w:rPr>
          <w:rFonts w:ascii="Calibri" w:cs="Calibri" w:eastAsia="Calibri" w:hAnsi="Calibri"/>
          <w:b/>
          <w:bCs/>
          <w:sz w:val="21"/>
          <w:szCs w:val="21"/>
        </w:rPr>
        <w:t xml:space="preserve">[two]</w:t>
      </w:r>
      <w:r>
        <w:rPr>
          <w:rFonts w:ascii="Calibri" w:cs="Calibri" w:eastAsia="Calibri" w:hAnsi="Calibri"/>
          <w:sz w:val="21"/>
          <w:szCs w:val="21"/>
        </w:rPr>
        <w:t xml:space="preserve"> signatories;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bank be instructed to act on the mandate until notified in writing of a change;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[NAME]</w:t>
      </w:r>
      <w:r>
        <w:rPr>
          <w:rFonts w:ascii="Calibri" w:cs="Calibri" w:eastAsia="Calibri" w:hAnsi="Calibri"/>
          <w:sz w:val="21"/>
          <w:szCs w:val="21"/>
        </w:rPr>
        <w:t xml:space="preserve"> be authorised to complete the bank’s documentation.</w:t>
      </w:r>
    </w:p>
    <w:p>
      <w:pPr>
        <w:spacing w:after="12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Update the mandate whenever a signatory leaves. A departed employee who remains on a bank mandate is the most common live control failure found in due diligence, and resigning an office does not remove them.</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SHAREHOLDERS’ RESOLUTION — CONSTITUTIONAL CHANGE</w:t>
      </w:r>
    </w:p>
    <w:p>
      <w:pPr>
        <w:spacing w:after="11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  Licence: </w:t>
      </w:r>
      <w:r>
        <w:rPr>
          <w:rFonts w:ascii="Calibri" w:cs="Calibri" w:eastAsia="Calibri" w:hAnsi="Calibri"/>
          <w:b/>
          <w:bCs/>
          <w:sz w:val="21"/>
          <w:szCs w:val="21"/>
        </w:rPr>
        <w:t xml:space="preserve">[NUMBER]</w:t>
      </w:r>
    </w:p>
    <w:p>
      <w:pPr>
        <w:spacing w:after="130" w:before="0" w:line="276"/>
        <w:jc w:val="both"/>
      </w:pPr>
      <w:r>
        <w:rPr>
          <w:rFonts w:ascii="Calibri" w:cs="Calibri" w:eastAsia="Calibri" w:hAnsi="Calibri"/>
          <w:b/>
          <w:bCs/>
          <w:sz w:val="21"/>
          <w:szCs w:val="21"/>
        </w:rPr>
        <w:t xml:space="preserve">RESOLUTION OF THE SHAREHOLDERS</w:t>
      </w:r>
      <w:r>
        <w:rPr>
          <w:rFonts w:ascii="Calibri" w:cs="Calibri" w:eastAsia="Calibri" w:hAnsi="Calibri"/>
          <w:sz w:val="21"/>
          <w:szCs w:val="21"/>
        </w:rPr>
        <w:t xml:space="preserve">  Dated </w:t>
      </w:r>
      <w:r>
        <w:rPr>
          <w:rFonts w:ascii="Calibri" w:cs="Calibri" w:eastAsia="Calibri" w:hAnsi="Calibri"/>
          <w:b/>
          <w:bCs/>
          <w:sz w:val="21"/>
          <w:szCs w:val="21"/>
        </w:rPr>
        <w:t xml:space="preserve">[DATE]</w:t>
      </w:r>
    </w:p>
    <w:p>
      <w:pPr>
        <w:spacing w:after="110" w:before="0" w:line="276"/>
        <w:jc w:val="both"/>
      </w:pPr>
      <w:r>
        <w:rPr>
          <w:rFonts w:ascii="Calibri" w:cs="Calibri" w:eastAsia="Calibri" w:hAnsi="Calibri"/>
          <w:sz w:val="21"/>
          <w:szCs w:val="21"/>
        </w:rPr>
        <w:t xml:space="preserve">The undersigned, being </w:t>
      </w:r>
      <w:r>
        <w:rPr>
          <w:rFonts w:ascii="Calibri" w:cs="Calibri" w:eastAsia="Calibri" w:hAnsi="Calibri"/>
          <w:b/>
          <w:bCs/>
          <w:sz w:val="21"/>
          <w:szCs w:val="21"/>
        </w:rPr>
        <w:t xml:space="preserve">[all / holders of ______ per cent of]</w:t>
      </w:r>
      <w:r>
        <w:rPr>
          <w:rFonts w:ascii="Calibri" w:cs="Calibri" w:eastAsia="Calibri" w:hAnsi="Calibri"/>
          <w:sz w:val="21"/>
          <w:szCs w:val="21"/>
        </w:rPr>
        <w:t xml:space="preserve"> the shares in the Company, resolve:</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[THE CONSTITUTIONAL CHANGE — for example: that the share capital be increased from AED ______ to AED ______ by the issue of ______ new shares to ______]</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That the Memorandum of Association be amended accordingly.</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That </w:t>
      </w:r>
      <w:r>
        <w:rPr>
          <w:rFonts w:ascii="Calibri" w:cs="Calibri" w:eastAsia="Calibri" w:hAnsi="Calibri"/>
          <w:b/>
          <w:bCs/>
          <w:sz w:val="21"/>
          <w:szCs w:val="21"/>
        </w:rPr>
        <w:t xml:space="preserve">[NAME]</w:t>
      </w:r>
      <w:r>
        <w:rPr>
          <w:rFonts w:ascii="Calibri" w:cs="Calibri" w:eastAsia="Calibri" w:hAnsi="Calibri"/>
          <w:sz w:val="21"/>
          <w:szCs w:val="21"/>
        </w:rPr>
        <w:t xml:space="preserve"> be authorised to execute the amended Memorandum before the notary and to obtain all approvals required.</w:t>
      </w:r>
    </w:p>
    <w:p>
      <w:pPr>
        <w:spacing w:after="100" w:before="40" w:line="276"/>
        <w:ind w:left="144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That the trade licence be amended and all filings made.</w:t>
      </w:r>
    </w:p>
    <w:p>
      <w:pPr>
        <w:spacing w:after="100" w:before="40" w:line="276"/>
        <w:ind w:left="144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That the </w:t>
      </w:r>
      <w:r>
        <w:rPr>
          <w:rFonts w:ascii="Calibri" w:cs="Calibri" w:eastAsia="Calibri" w:hAnsi="Calibri"/>
          <w:b/>
          <w:bCs/>
          <w:sz w:val="21"/>
          <w:szCs w:val="21"/>
        </w:rPr>
        <w:t xml:space="preserve">register of beneficial owners be reviewed and updated</w:t>
      </w:r>
      <w:r>
        <w:rPr>
          <w:rFonts w:ascii="Calibri" w:cs="Calibri" w:eastAsia="Calibri" w:hAnsi="Calibri"/>
          <w:sz w:val="21"/>
          <w:szCs w:val="21"/>
        </w:rPr>
        <w:t xml:space="preserve">, and the filing made where required.</w:t>
      </w:r>
    </w:p>
    <w:p>
      <w:pPr>
        <w:spacing w:after="14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Shareholder — </w:t>
            </w:r>
            <w:r>
              <w:rPr>
                <w:rFonts w:ascii="Calibri" w:cs="Calibri" w:eastAsia="Calibri" w:hAnsi="Calibri"/>
                <w:b/>
                <w:bCs/>
                <w:sz w:val="21"/>
                <w:szCs w:val="21"/>
              </w:rPr>
              <w:t xml:space="preserv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Shareholder — </w:t>
            </w:r>
            <w:r>
              <w:rPr>
                <w:rFonts w:ascii="Calibri" w:cs="Calibri" w:eastAsia="Calibri" w:hAnsi="Calibri"/>
                <w:b/>
                <w:bCs/>
                <w:sz w:val="21"/>
                <w:szCs w:val="21"/>
              </w:rPr>
              <w:t xml:space="preserv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This resolution alone does not effect the change.</w:t>
      </w:r>
      <w:r>
        <w:rPr>
          <w:rFonts w:ascii="Calibri" w:cs="Calibri" w:eastAsia="Calibri" w:hAnsi="Calibri"/>
          <w:sz w:val="21"/>
          <w:szCs w:val="21"/>
        </w:rPr>
        <w:t xml:space="preserve"> It authorises it. The change takes effect on notarisation of the amended Memorandum and approval by the authority.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a shareholder cannot attend the notary, an </w:t>
      </w:r>
      <w:r>
        <w:rPr>
          <w:rFonts w:ascii="Calibri" w:cs="Calibri" w:eastAsia="Calibri" w:hAnsi="Calibri"/>
          <w:b/>
          <w:bCs/>
          <w:sz w:val="21"/>
          <w:szCs w:val="21"/>
        </w:rPr>
        <w:t xml:space="preserve">attested power of attorney</w:t>
      </w:r>
      <w:r>
        <w:rPr>
          <w:rFonts w:ascii="Calibri" w:cs="Calibri" w:eastAsia="Calibri" w:hAnsi="Calibri"/>
          <w:sz w:val="21"/>
          <w:szCs w:val="21"/>
        </w:rPr>
        <w:t xml:space="preserve"> must be in place. For an overseas shareholder allow three to six weeks.</w:t>
      </w:r>
    </w:p>
    <w:p>
      <w:pPr>
        <w:keepNext/>
        <w:spacing w:after="120" w:before="280"/>
        <w:outlineLvl w:val="0"/>
      </w:pPr>
      <w:r>
        <w:rPr>
          <w:rFonts w:ascii="Calibri" w:cs="Calibri" w:eastAsia="Calibri" w:hAnsi="Calibri"/>
          <w:b/>
          <w:bCs/>
          <w:color w:val="14161B"/>
          <w:sz w:val="22"/>
          <w:szCs w:val="22"/>
        </w:rPr>
        <w:t xml:space="preserve">5. MINUTE BOOK</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Practice</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Number every resolution and keep them in sequence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Gaps are the first thing a reviewer notices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date, who was present, and the threshold applied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Proves the decision was validly taken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decisions </w:t>
            </w:r>
            <w:r>
              <w:rPr>
                <w:rFonts w:ascii="Calibri" w:cs="Calibri" w:eastAsia="Calibri" w:hAnsi="Calibri"/>
                <w:b/>
                <w:bCs/>
                <w:sz w:val="17"/>
                <w:szCs w:val="17"/>
              </w:rPr>
              <w:t xml:space="preserve">when taken</w:t>
            </w:r>
            <w:r>
              <w:rPr>
                <w:rFonts w:ascii="Calibri" w:cs="Calibri" w:eastAsia="Calibri" w:hAnsi="Calibri"/>
                <w:sz w:val="17"/>
                <w:szCs w:val="17"/>
              </w:rPr>
              <w:t xml:space="preserve">, not reconstructed later</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Reconstruction is visible and undermines the file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the notarised originals, not only scans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Scans are not the instrument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the DED or zone approval alongside the resolution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resolution without the approval proves nothing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declarations of interest before the decision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Related party transactions attract scrutiny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Cross-reference to the UBO register where ownership changed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two must agree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permanently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Constitutional history is asked for at every financing</w:t>
            </w:r>
          </w:p>
        </w:tc>
      </w:tr>
    </w:tbl>
    <w:p>
      <w:pPr>
        <w:spacing w:after="160"/>
      </w:pPr>
    </w:p>
    <w:p>
      <w:pPr>
        <w:keepNext/>
        <w:spacing w:after="120" w:before="280"/>
        <w:outlineLvl w:val="0"/>
      </w:pPr>
      <w:r>
        <w:rPr>
          <w:rFonts w:ascii="Calibri" w:cs="Calibri" w:eastAsia="Calibri" w:hAnsi="Calibri"/>
          <w:b/>
          <w:bCs/>
          <w:color w:val="14161B"/>
          <w:sz w:val="22"/>
          <w:szCs w:val="22"/>
        </w:rPr>
        <w:t xml:space="preserve">6. RESOLUTION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060"/>
        <w:gridCol w:w="1349"/>
        <w:gridCol w:w="2602"/>
        <w:gridCol w:w="1349"/>
        <w:gridCol w:w="963"/>
        <w:gridCol w:w="963"/>
        <w:gridCol w:w="96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Body</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Threshold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Approved</w:t>
            </w:r>
          </w:p>
        </w:tc>
        <w:tc>
          <w:tcPr>
            <w:tcW w:type="dxa" w:w="9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Ask whether the decision needs a notary before drafting it</w:t>
      </w:r>
    </w:p>
    <w:p>
      <w:pPr>
        <w:spacing w:after="60" w:line="264"/>
        <w:jc w:val="both"/>
      </w:pPr>
      <w:r>
        <w:rPr>
          <w:rFonts w:ascii="Calibri" w:cs="Calibri" w:eastAsia="Calibri" w:hAnsi="Calibri"/>
          <w:sz w:val="19"/>
          <w:szCs w:val="19"/>
        </w:rPr>
        <w:t xml:space="preserve">Ordinary operating decisions are recorded internally. Constitutional changes — shares, capital, managers, objects, name, address — require notarisation and authority approval before they take effect on the mainland. A perfectly drafted resolution that has not been notarised has changed nothing.</w:t>
      </w:r>
    </w:p>
    <w:p>
      <w:pPr>
        <w:keepNext/>
        <w:spacing w:after="40" w:before="140"/>
      </w:pPr>
      <w:r>
        <w:rPr>
          <w:rFonts w:ascii="Calibri" w:cs="Calibri" w:eastAsia="Calibri" w:hAnsi="Calibri"/>
          <w:b/>
          <w:bCs/>
          <w:color w:val="14161B"/>
          <w:sz w:val="20"/>
          <w:szCs w:val="20"/>
        </w:rPr>
        <w:t xml:space="preserve">The resolution authorises; the notary effects</w:t>
      </w:r>
    </w:p>
    <w:p>
      <w:pPr>
        <w:spacing w:after="60" w:line="264"/>
        <w:jc w:val="both"/>
      </w:pPr>
      <w:r>
        <w:rPr>
          <w:rFonts w:ascii="Calibri" w:cs="Calibri" w:eastAsia="Calibri" w:hAnsi="Calibri"/>
          <w:sz w:val="19"/>
          <w:szCs w:val="19"/>
        </w:rPr>
        <w:t xml:space="preserve">This is the point mainland companies most often get wrong. A shareholders’ resolution to issue shares does not issue them. The amended Memorandum must be notarised and the authority must approve, and until then the register and the licence are unchanged.</w:t>
      </w:r>
    </w:p>
    <w:p>
      <w:pPr>
        <w:keepNext/>
        <w:spacing w:after="40" w:before="140"/>
      </w:pPr>
      <w:r>
        <w:rPr>
          <w:rFonts w:ascii="Calibri" w:cs="Calibri" w:eastAsia="Calibri" w:hAnsi="Calibri"/>
          <w:b/>
          <w:bCs/>
          <w:color w:val="14161B"/>
          <w:sz w:val="20"/>
          <w:szCs w:val="20"/>
        </w:rPr>
        <w:t xml:space="preserve">Allow weeks for overseas shareholders</w:t>
      </w:r>
    </w:p>
    <w:p>
      <w:pPr>
        <w:spacing w:after="60" w:line="264"/>
        <w:jc w:val="both"/>
      </w:pPr>
      <w:r>
        <w:rPr>
          <w:rFonts w:ascii="Calibri" w:cs="Calibri" w:eastAsia="Calibri" w:hAnsi="Calibri"/>
          <w:sz w:val="19"/>
          <w:szCs w:val="19"/>
        </w:rPr>
        <w:t xml:space="preserve">A shareholder who cannot attend the notary needs an attested power of attorney — notarised abroad, legalised through the UAE embassy, attested by the Ministry of Foreign Affairs, and translated. Three to six weeks. Start it before the resolution is even drafted.</w:t>
      </w:r>
    </w:p>
    <w:p>
      <w:pPr>
        <w:keepNext/>
        <w:spacing w:after="40" w:before="140"/>
      </w:pPr>
      <w:r>
        <w:rPr>
          <w:rFonts w:ascii="Calibri" w:cs="Calibri" w:eastAsia="Calibri" w:hAnsi="Calibri"/>
          <w:b/>
          <w:bCs/>
          <w:color w:val="14161B"/>
          <w:sz w:val="20"/>
          <w:szCs w:val="20"/>
        </w:rPr>
        <w:t xml:space="preserve">DIFC and ADGM work differently</w:t>
      </w:r>
    </w:p>
    <w:p>
      <w:pPr>
        <w:spacing w:after="60" w:line="264"/>
        <w:jc w:val="both"/>
      </w:pPr>
      <w:r>
        <w:rPr>
          <w:rFonts w:ascii="Calibri" w:cs="Calibri" w:eastAsia="Calibri" w:hAnsi="Calibri"/>
          <w:sz w:val="19"/>
          <w:szCs w:val="19"/>
        </w:rPr>
        <w:t xml:space="preserve">In the financial free zones, decisions are taken by board or shareholder resolution and recorded in the registers in the common-law way, without notarisation. Most of the mainland burden simply does not apply, which is one of the practical reasons investment structures sit there.</w:t>
      </w:r>
    </w:p>
    <w:p>
      <w:pPr>
        <w:keepNext/>
        <w:spacing w:after="40" w:before="140"/>
      </w:pPr>
      <w:r>
        <w:rPr>
          <w:rFonts w:ascii="Calibri" w:cs="Calibri" w:eastAsia="Calibri" w:hAnsi="Calibri"/>
          <w:b/>
          <w:bCs/>
          <w:color w:val="14161B"/>
          <w:sz w:val="20"/>
          <w:szCs w:val="20"/>
        </w:rPr>
        <w:t xml:space="preserve">Update the bank mandate when anyone leaves</w:t>
      </w:r>
    </w:p>
    <w:p>
      <w:pPr>
        <w:spacing w:after="60" w:line="264"/>
        <w:jc w:val="both"/>
      </w:pPr>
      <w:r>
        <w:rPr>
          <w:rFonts w:ascii="Calibri" w:cs="Calibri" w:eastAsia="Calibri" w:hAnsi="Calibri"/>
          <w:sz w:val="19"/>
          <w:szCs w:val="19"/>
        </w:rPr>
        <w:t xml:space="preserve">A departed employee still on a bank mandate is among the most common live control failures found in due diligence. Resigning an office, or even leaving the country, does not remove them. Make the mandate update part of the leaver process.</w:t>
      </w:r>
    </w:p>
    <w:p>
      <w:pPr>
        <w:keepNext/>
        <w:spacing w:after="40" w:before="140"/>
      </w:pPr>
      <w:r>
        <w:rPr>
          <w:rFonts w:ascii="Calibri" w:cs="Calibri" w:eastAsia="Calibri" w:hAnsi="Calibri"/>
          <w:b/>
          <w:bCs/>
          <w:color w:val="14161B"/>
          <w:sz w:val="20"/>
          <w:szCs w:val="20"/>
        </w:rPr>
        <w:t xml:space="preserve">Record decisions when taken</w:t>
      </w:r>
    </w:p>
    <w:p>
      <w:pPr>
        <w:spacing w:after="60" w:line="264"/>
        <w:jc w:val="both"/>
      </w:pPr>
      <w:r>
        <w:rPr>
          <w:rFonts w:ascii="Calibri" w:cs="Calibri" w:eastAsia="Calibri" w:hAnsi="Calibri"/>
          <w:sz w:val="19"/>
          <w:szCs w:val="19"/>
        </w:rPr>
        <w:t xml:space="preserve">Minutes reconstructed months later to fill a gap are visible for what they are, and they undermine the credibility of the whole file. Write them at the time, even briefly — a short contemporaneous note beats a polished retrospective one.</w:t>
      </w:r>
    </w:p>
    <w:p>
      <w:pPr>
        <w:keepNext/>
        <w:spacing w:after="40" w:before="140"/>
      </w:pPr>
      <w:r>
        <w:rPr>
          <w:rFonts w:ascii="Calibri" w:cs="Calibri" w:eastAsia="Calibri" w:hAnsi="Calibri"/>
          <w:b/>
          <w:bCs/>
          <w:color w:val="14161B"/>
          <w:sz w:val="20"/>
          <w:szCs w:val="20"/>
        </w:rPr>
        <w:t xml:space="preserve">Keep the approval with the resolution</w:t>
      </w:r>
    </w:p>
    <w:p>
      <w:pPr>
        <w:spacing w:after="60" w:line="264"/>
        <w:jc w:val="both"/>
      </w:pPr>
      <w:r>
        <w:rPr>
          <w:rFonts w:ascii="Calibri" w:cs="Calibri" w:eastAsia="Calibri" w:hAnsi="Calibri"/>
          <w:sz w:val="19"/>
          <w:szCs w:val="19"/>
        </w:rPr>
        <w:t xml:space="preserve">A resolution without the corresponding DED or zone approval proves that a decision was made, not that it took effect. File them together, because a reviewer will ask for both and their absence looks like the step was skipped.</w:t>
      </w:r>
    </w:p>
    <w:p>
      <w:pPr>
        <w:keepNext/>
        <w:spacing w:after="40" w:before="140"/>
      </w:pPr>
      <w:r>
        <w:rPr>
          <w:rFonts w:ascii="Calibri" w:cs="Calibri" w:eastAsia="Calibri" w:hAnsi="Calibri"/>
          <w:b/>
          <w:bCs/>
          <w:color w:val="14161B"/>
          <w:sz w:val="20"/>
          <w:szCs w:val="20"/>
        </w:rPr>
        <w:t xml:space="preserve">Number resolutions and keep the sequence</w:t>
      </w:r>
    </w:p>
    <w:p>
      <w:pPr>
        <w:spacing w:after="60" w:line="264"/>
        <w:jc w:val="both"/>
      </w:pPr>
      <w:r>
        <w:rPr>
          <w:rFonts w:ascii="Calibri" w:cs="Calibri" w:eastAsia="Calibri" w:hAnsi="Calibri"/>
          <w:sz w:val="19"/>
          <w:szCs w:val="19"/>
        </w:rPr>
        <w:t xml:space="preserve">Gaps in numbering are the first thing a reviewer notices, and they prompt questions about what is missing. A simple register, as in Section 6, makes the history legible and takes minutes to maintain.</w:t>
      </w:r>
    </w:p>
    <w:p>
      <w:pPr>
        <w:keepNext/>
        <w:spacing w:after="40" w:before="140"/>
      </w:pPr>
      <w:r>
        <w:rPr>
          <w:rFonts w:ascii="Calibri" w:cs="Calibri" w:eastAsia="Calibri" w:hAnsi="Calibri"/>
          <w:b/>
          <w:bCs/>
          <w:color w:val="14161B"/>
          <w:sz w:val="20"/>
          <w:szCs w:val="20"/>
        </w:rPr>
        <w:t xml:space="preserve">Cross-reference constitutional changes to the UBO register</w:t>
      </w:r>
    </w:p>
    <w:p>
      <w:pPr>
        <w:spacing w:after="60" w:line="264"/>
        <w:jc w:val="both"/>
      </w:pPr>
      <w:r>
        <w:rPr>
          <w:rFonts w:ascii="Calibri" w:cs="Calibri" w:eastAsia="Calibri" w:hAnsi="Calibri"/>
          <w:sz w:val="19"/>
          <w:szCs w:val="19"/>
        </w:rPr>
        <w:t xml:space="preserve">A share issue or transfer crossing the 25 per cent threshold changes the beneficial ownership position, and the register must be updated and filed on the change. The resolution and the register must tell the same story.</w:t>
      </w:r>
    </w:p>
    <w:p>
      <w:pPr>
        <w:keepNext/>
        <w:spacing w:after="40" w:before="140"/>
      </w:pPr>
      <w:r>
        <w:rPr>
          <w:rFonts w:ascii="Calibri" w:cs="Calibri" w:eastAsia="Calibri" w:hAnsi="Calibri"/>
          <w:b/>
          <w:bCs/>
          <w:color w:val="14161B"/>
          <w:sz w:val="20"/>
          <w:szCs w:val="20"/>
        </w:rPr>
        <w:t xml:space="preserve">Declare interests before the decision, not after</w:t>
      </w:r>
    </w:p>
    <w:p>
      <w:pPr>
        <w:spacing w:after="60" w:line="264"/>
        <w:jc w:val="both"/>
      </w:pPr>
      <w:r>
        <w:rPr>
          <w:rFonts w:ascii="Calibri" w:cs="Calibri" w:eastAsia="Calibri" w:hAnsi="Calibri"/>
          <w:sz w:val="19"/>
          <w:szCs w:val="19"/>
        </w:rPr>
        <w:t xml:space="preserve">Related party transactions attract scrutiny in diligence and in audit. A declaration recorded before the decision, and the interested party abstaining where required, converts a suspicious-looking transaction into a documented one.</w:t>
      </w:r>
    </w:p>
    <w:p>
      <w:pPr>
        <w:keepNext/>
        <w:spacing w:after="40" w:before="140"/>
      </w:pPr>
      <w:r>
        <w:rPr>
          <w:rFonts w:ascii="Calibri" w:cs="Calibri" w:eastAsia="Calibri" w:hAnsi="Calibri"/>
          <w:b/>
          <w:bCs/>
          <w:color w:val="14161B"/>
          <w:sz w:val="20"/>
          <w:szCs w:val="20"/>
        </w:rPr>
        <w:t xml:space="preserve">Managers are not directors</w:t>
      </w:r>
    </w:p>
    <w:p>
      <w:pPr>
        <w:spacing w:after="60" w:line="264"/>
        <w:jc w:val="both"/>
      </w:pPr>
      <w:r>
        <w:rPr>
          <w:rFonts w:ascii="Calibri" w:cs="Calibri" w:eastAsia="Calibri" w:hAnsi="Calibri"/>
          <w:sz w:val="19"/>
          <w:szCs w:val="19"/>
        </w:rPr>
        <w:t xml:space="preserve">A mainland LLC is run by managers whose authority flows from the Memorandum and the licence, not by a board with the powers a common-law director has. Resolutions drafted on a board model can sit oddly against the constitutional position — match the language to the entity.</w:t>
      </w:r>
    </w:p>
    <w:p>
      <w:pPr>
        <w:keepNext/>
        <w:spacing w:after="40" w:before="140"/>
      </w:pPr>
      <w:r>
        <w:rPr>
          <w:rFonts w:ascii="Calibri" w:cs="Calibri" w:eastAsia="Calibri" w:hAnsi="Calibri"/>
          <w:b/>
          <w:bCs/>
          <w:color w:val="14161B"/>
          <w:sz w:val="20"/>
          <w:szCs w:val="20"/>
        </w:rPr>
        <w:t xml:space="preserve">Third parties can rely on apparent authority</w:t>
      </w:r>
    </w:p>
    <w:p>
      <w:pPr>
        <w:spacing w:after="60" w:line="264"/>
        <w:jc w:val="both"/>
      </w:pPr>
      <w:r>
        <w:rPr>
          <w:rFonts w:ascii="Calibri" w:cs="Calibri" w:eastAsia="Calibri" w:hAnsi="Calibri"/>
          <w:sz w:val="19"/>
          <w:szCs w:val="19"/>
        </w:rPr>
        <w:t xml:space="preserve">Internal limits on a manager’s authority that are not reflected in the Memorandum or the licence may not bind a third party dealing in good faith. If a limit matters, it needs to be in the constitutional document, not only in a resolution.</w:t>
      </w:r>
    </w:p>
    <w:p>
      <w:pPr>
        <w:keepNext/>
        <w:spacing w:after="40" w:before="140"/>
      </w:pPr>
      <w:r>
        <w:rPr>
          <w:rFonts w:ascii="Calibri" w:cs="Calibri" w:eastAsia="Calibri" w:hAnsi="Calibri"/>
          <w:b/>
          <w:bCs/>
          <w:color w:val="14161B"/>
          <w:sz w:val="20"/>
          <w:szCs w:val="20"/>
        </w:rPr>
        <w:t xml:space="preserve">Keep notarised originals</w:t>
      </w:r>
    </w:p>
    <w:p>
      <w:pPr>
        <w:spacing w:after="60" w:line="264"/>
        <w:jc w:val="both"/>
      </w:pPr>
      <w:r>
        <w:rPr>
          <w:rFonts w:ascii="Calibri" w:cs="Calibri" w:eastAsia="Calibri" w:hAnsi="Calibri"/>
          <w:sz w:val="19"/>
          <w:szCs w:val="19"/>
        </w:rPr>
        <w:t xml:space="preserve">Scans are not the instrument. The notarised originals of the Memorandum, its amendments and any power of attorney belong in the corporate file, and their absence is genuinely difficult to remedy retrospectively.</w:t>
      </w:r>
    </w:p>
    <w:p>
      <w:pPr>
        <w:keepNext/>
        <w:spacing w:after="40" w:before="140"/>
      </w:pPr>
      <w:r>
        <w:rPr>
          <w:rFonts w:ascii="Calibri" w:cs="Calibri" w:eastAsia="Calibri" w:hAnsi="Calibri"/>
          <w:b/>
          <w:bCs/>
          <w:color w:val="14161B"/>
          <w:sz w:val="20"/>
          <w:szCs w:val="20"/>
        </w:rPr>
        <w:t xml:space="preserve">Retain permanently</w:t>
      </w:r>
    </w:p>
    <w:p>
      <w:pPr>
        <w:spacing w:after="60" w:line="264"/>
        <w:jc w:val="both"/>
      </w:pPr>
      <w:r>
        <w:rPr>
          <w:rFonts w:ascii="Calibri" w:cs="Calibri" w:eastAsia="Calibri" w:hAnsi="Calibri"/>
          <w:sz w:val="19"/>
          <w:szCs w:val="19"/>
        </w:rPr>
        <w:t xml:space="preserve">Constitutional history — the original Memorandum, every amendment, every share transfer and approval — is requested at every financing, sale and bank review. Companies reconstruct it painfully and incompletely years later.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Commercial Companies Law was amended by Federal Decree-Law 20 of 2025, and notarisation procedures, authority requirements and thresholds differ by emirate and free zone and change — confirm with the relevant authority and take legal advice before any constitutional change.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2026-08-23T16:28:34.817Z</dcterms:created>
  <dcterms:modified xsi:type="dcterms:W3CDTF">2026-08-23T16:28:34.817Z</dcterms:modified>
</cp:coreProperties>
</file>

<file path=docProps/custom.xml><?xml version="1.0" encoding="utf-8"?>
<Properties xmlns="http://schemas.openxmlformats.org/officeDocument/2006/custom-properties" xmlns:vt="http://schemas.openxmlformats.org/officeDocument/2006/docPropsVTypes"/>
</file>