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RECRUITMENT</w:t>
      </w:r>
    </w:p>
    <w:p>
      <w:pPr>
        <w:spacing w:after="260"/>
        <w:jc w:val="center"/>
      </w:pPr>
      <w:r>
        <w:rPr>
          <w:rFonts w:ascii="Calibri" w:cs="Calibri" w:eastAsia="Calibri" w:hAnsi="Calibri"/>
          <w:i/>
          <w:iCs/>
          <w:color w:val="6E7480"/>
          <w:sz w:val="19"/>
          <w:szCs w:val="19"/>
        </w:rPr>
        <w:t xml:space="preserve">Hiring lawfully and defensibly in the UAE</w:t>
      </w:r>
    </w:p>
    <w:p>
      <w:pPr>
        <w:spacing w:after="180" w:before="0" w:line="276"/>
        <w:jc w:val="both"/>
      </w:pPr>
      <w:r>
        <w:rPr>
          <w:rFonts w:ascii="Calibri" w:cs="Calibri" w:eastAsia="Calibri" w:hAnsi="Calibri"/>
          <w:i/>
          <w:iCs/>
          <w:color w:val="6E7480"/>
          <w:sz w:val="21"/>
          <w:szCs w:val="21"/>
        </w:rPr>
        <w:t xml:space="preserve">Three things make UAE recruitment different. </w:t>
      </w:r>
      <w:r>
        <w:rPr>
          <w:rFonts w:ascii="Calibri" w:cs="Calibri" w:eastAsia="Calibri" w:hAnsi="Calibri"/>
          <w:b/>
          <w:bCs/>
          <w:i/>
          <w:iCs/>
          <w:color w:val="6E7480"/>
          <w:sz w:val="21"/>
          <w:szCs w:val="21"/>
        </w:rPr>
        <w:t xml:space="preserve">Candidates may never be charged a fee</w:t>
      </w:r>
      <w:r>
        <w:rPr>
          <w:rFonts w:ascii="Calibri" w:cs="Calibri" w:eastAsia="Calibri" w:hAnsi="Calibri"/>
          <w:i/>
          <w:iCs/>
          <w:color w:val="6E7480"/>
          <w:sz w:val="21"/>
          <w:szCs w:val="21"/>
        </w:rPr>
        <w:t xml:space="preserve"> — recruitment costs are the employer’s by law. </w:t>
      </w:r>
      <w:r>
        <w:rPr>
          <w:rFonts w:ascii="Calibri" w:cs="Calibri" w:eastAsia="Calibri" w:hAnsi="Calibri"/>
          <w:b/>
          <w:bCs/>
          <w:i/>
          <w:iCs/>
          <w:color w:val="6E7480"/>
          <w:sz w:val="21"/>
          <w:szCs w:val="21"/>
        </w:rPr>
        <w:t xml:space="preserve">Quota comes before the offer</w:t>
      </w:r>
      <w:r>
        <w:rPr>
          <w:rFonts w:ascii="Calibri" w:cs="Calibri" w:eastAsia="Calibri" w:hAnsi="Calibri"/>
          <w:i/>
          <w:iCs/>
          <w:color w:val="6E7480"/>
          <w:sz w:val="21"/>
          <w:szCs w:val="21"/>
        </w:rPr>
        <w:t xml:space="preserve">, not after. And on the mainland every skilled hire moves the </w:t>
      </w:r>
      <w:r>
        <w:rPr>
          <w:rFonts w:ascii="Calibri" w:cs="Calibri" w:eastAsia="Calibri" w:hAnsi="Calibri"/>
          <w:b/>
          <w:bCs/>
          <w:i/>
          <w:iCs/>
          <w:color w:val="6E7480"/>
          <w:sz w:val="21"/>
          <w:szCs w:val="21"/>
        </w:rPr>
        <w:t xml:space="preserve">Emiratisation</w:t>
      </w:r>
      <w:r>
        <w:rPr>
          <w:rFonts w:ascii="Calibri" w:cs="Calibri" w:eastAsia="Calibri" w:hAnsi="Calibri"/>
          <w:i/>
          <w:iCs/>
          <w:color w:val="6E7480"/>
          <w:sz w:val="21"/>
          <w:szCs w:val="21"/>
        </w:rPr>
        <w:t xml:space="preserve"> target, so hiring plans and quota compliance are the same conversation.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MOHRE / Free zone / DIFC / ADGM]</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Role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[JOB TITLE]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Matches a licensed activity?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MOHRE skill level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[1–9]</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Quota available?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confirmed </w:t>
            </w: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Emiratisation impact of this hire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[Raises the target / neutral / counts towards it]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Salary range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to </w:t>
            </w: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Recruiting via</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 / agency — name it / Nafis]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Hiring manager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ADVERTISING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276"/>
        <w:gridCol w:w="4433"/>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Visa quota available for the role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 offer made without quota may have to be withdrawn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Job title corresponds to a licensed activity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Permits are refused on a mismatch</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Skill level determined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Affects permit category, fees and grace period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Emiratisation position modelled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skilled hire moves the mainland target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Whether this role should be an Emirati hire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Nafis; quota planning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cost of hire modelled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 visa, medical, ID, insurance, repatriation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Attestation needed for qualifications?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Weeks — start early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Job description written to the role, not the person</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Supports fair selection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benchmarked and range agreed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Prevents inconsistency between hires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Approval to recruit obtained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authority matrix</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Check 4 is the one that gets skipped. On the mainland each additional skilled non-Emirati hire raises the Emiratisation requirement. A company hiring steadily can drift out of compliance without losing a single Emirati employee, and the penalty accrues monthly per unfilled position.</w:t>
      </w:r>
    </w:p>
    <w:p>
      <w:pPr>
        <w:keepNext/>
        <w:spacing w:after="120" w:before="280"/>
        <w:outlineLvl w:val="0"/>
      </w:pPr>
      <w:r>
        <w:rPr>
          <w:rFonts w:ascii="Calibri" w:cs="Calibri" w:eastAsia="Calibri" w:hAnsi="Calibri"/>
          <w:b/>
          <w:bCs/>
          <w:color w:val="14161B"/>
          <w:sz w:val="22"/>
          <w:szCs w:val="22"/>
        </w:rPr>
        <w:t xml:space="preserve">2. ADVERTISING AND SELECTION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Advertisements shall describe the </w:t>
      </w:r>
      <w:r>
        <w:rPr>
          <w:rFonts w:ascii="Calibri" w:cs="Calibri" w:eastAsia="Calibri" w:hAnsi="Calibri"/>
          <w:b/>
          <w:bCs/>
          <w:sz w:val="21"/>
          <w:szCs w:val="21"/>
        </w:rPr>
        <w:t xml:space="preserve">role</w:t>
      </w:r>
      <w:r>
        <w:rPr>
          <w:rFonts w:ascii="Calibri" w:cs="Calibri" w:eastAsia="Calibri" w:hAnsi="Calibri"/>
          <w:sz w:val="21"/>
          <w:szCs w:val="21"/>
        </w:rPr>
        <w:t xml:space="preserve">, the requirements and the location accurately, and shall not state or imply a preference on a ground protected by law.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 not specify</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Unless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Nationality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genuine legal requirement applies — take advice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Gender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genuine occupational requirement applies — rare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legal minimum or a genuine requirement applies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Religion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Effectively never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Marital or family status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Never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"Own visa" or "husband’s visa"</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Never — this excludes on family status and is a permit question, not a preference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Photograph required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Avoid — invites and evidences bias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[Language]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role genuinely requires it — state which language and why</w:t>
            </w: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Advertisements specifying nationality or "own visa" are common in this market and are exactly what a discrimination framework exists to address. They are also visible, permanent and easy to produce in a complaint.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Selection shall be against the written requirements, with the reasoning recorded for each stage.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b/>
          <w:bCs/>
          <w:sz w:val="21"/>
          <w:szCs w:val="21"/>
        </w:rPr>
        <w:t xml:space="preserve">[Mainland]</w:t>
      </w:r>
      <w:r>
        <w:rPr>
          <w:rFonts w:ascii="Calibri" w:cs="Calibri" w:eastAsia="Calibri" w:hAnsi="Calibri"/>
          <w:sz w:val="21"/>
          <w:szCs w:val="21"/>
        </w:rPr>
        <w:t xml:space="preserve"> Where the role is being considered for an Emirati hire, advertise through </w:t>
      </w:r>
      <w:r>
        <w:rPr>
          <w:rFonts w:ascii="Calibri" w:cs="Calibri" w:eastAsia="Calibri" w:hAnsi="Calibri"/>
          <w:b/>
          <w:bCs/>
          <w:sz w:val="21"/>
          <w:szCs w:val="21"/>
        </w:rPr>
        <w:t xml:space="preserve">Nafis</w:t>
      </w:r>
      <w:r>
        <w:rPr>
          <w:rFonts w:ascii="Calibri" w:cs="Calibri" w:eastAsia="Calibri" w:hAnsi="Calibri"/>
          <w:sz w:val="21"/>
          <w:szCs w:val="21"/>
        </w:rPr>
        <w:t xml:space="preserve"> and record the effort.</w:t>
      </w:r>
    </w:p>
    <w:p>
      <w:pPr>
        <w:keepNext/>
        <w:spacing w:after="120" w:before="280"/>
        <w:outlineLvl w:val="0"/>
      </w:pPr>
      <w:r>
        <w:rPr>
          <w:rFonts w:ascii="Calibri" w:cs="Calibri" w:eastAsia="Calibri" w:hAnsi="Calibri"/>
          <w:b/>
          <w:bCs/>
          <w:color w:val="14161B"/>
          <w:sz w:val="22"/>
          <w:szCs w:val="22"/>
        </w:rPr>
        <w:t xml:space="preserve">3. FEES — THE ABSOLUTE RULE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A candidate or employee may never be charged, directly or indirectly, for: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recruitment or placement;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work permit or its renewal;</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entry permit or residence visa;</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medical fitness test;</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Emirates ID; or</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health insurance the employer must provide.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This includes </w:t>
      </w:r>
      <w:r>
        <w:rPr>
          <w:rFonts w:ascii="Calibri" w:cs="Calibri" w:eastAsia="Calibri" w:hAnsi="Calibri"/>
          <w:b/>
          <w:bCs/>
          <w:sz w:val="21"/>
          <w:szCs w:val="21"/>
        </w:rPr>
        <w:t xml:space="preserve">indirect recovery</w:t>
      </w:r>
      <w:r>
        <w:rPr>
          <w:rFonts w:ascii="Calibri" w:cs="Calibri" w:eastAsia="Calibri" w:hAnsi="Calibri"/>
          <w:sz w:val="21"/>
          <w:szCs w:val="21"/>
        </w:rPr>
        <w:t xml:space="preserve"> — a deduction from salary, a lower salary structured to absorb the cost, a repayment clause on early departure, or an agency fee refunded to the employer.</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Where an agency is used, the Company shall satisfy itself that </w:t>
      </w:r>
      <w:r>
        <w:rPr>
          <w:rFonts w:ascii="Calibri" w:cs="Calibri" w:eastAsia="Calibri" w:hAnsi="Calibri"/>
          <w:b/>
          <w:bCs/>
          <w:sz w:val="21"/>
          <w:szCs w:val="21"/>
        </w:rPr>
        <w:t xml:space="preserve">the agency has not charged the candidate</w:t>
      </w:r>
      <w:r>
        <w:rPr>
          <w:rFonts w:ascii="Calibri" w:cs="Calibri" w:eastAsia="Calibri" w:hAnsi="Calibri"/>
          <w:sz w:val="21"/>
          <w:szCs w:val="21"/>
        </w:rPr>
        <w:t xml:space="preserve"> and shall obtain written confirmation.</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Overseas agencies charging candidates in their home country is the version of this that employers do not see. Ask the question in the agency agreement and ask the candidate directly at offer stage.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CHECKS AND INFORMATION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Check</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Position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References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Reasonable — obtain the candidate’s consent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Qualification attestation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Required for some roles; start early, it takes weeks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Current UAE status and any ban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Establish before the offer — a ban blocks the permit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Existing sponsor consent where transferring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the transfer route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[Criminal record checks]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[Only where lawfully required for the role — take advice]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fitness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 of the visa process, not a pre-offer screen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[Social media]</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Avoid — collects protected characteristics you cannot use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Candidate personal data</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Processed under the applicable data protection regime; retain only as long as needed</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Do not use the medical as a screening tool.</w:t>
      </w:r>
      <w:r>
        <w:rPr>
          <w:rFonts w:ascii="Calibri" w:cs="Calibri" w:eastAsia="Calibri" w:hAnsi="Calibri"/>
          <w:sz w:val="21"/>
          <w:szCs w:val="21"/>
        </w:rPr>
        <w:t xml:space="preserve"> It is part of the visa process. Withdrawing an offer on the basis of health information obtained through it raises serious issues — take advice before doing so.</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Unsuccessful candidates’ data shall be retained only for </w:t>
      </w:r>
      <w:r>
        <w:rPr>
          <w:rFonts w:ascii="Calibri" w:cs="Calibri" w:eastAsia="Calibri" w:hAnsi="Calibri"/>
          <w:b/>
          <w:bCs/>
          <w:sz w:val="21"/>
          <w:szCs w:val="21"/>
        </w:rPr>
        <w:t xml:space="preserve">[PERIOD]</w:t>
      </w:r>
      <w:r>
        <w:rPr>
          <w:rFonts w:ascii="Calibri" w:cs="Calibri" w:eastAsia="Calibri" w:hAnsi="Calibri"/>
          <w:sz w:val="21"/>
          <w:szCs w:val="21"/>
        </w:rPr>
        <w:t xml:space="preserve"> and then deleted, unless they consent to being kept on file.</w:t>
      </w:r>
    </w:p>
    <w:p>
      <w:pPr>
        <w:keepNext/>
        <w:spacing w:after="120" w:before="280"/>
        <w:outlineLvl w:val="0"/>
      </w:pPr>
      <w:r>
        <w:rPr>
          <w:rFonts w:ascii="Calibri" w:cs="Calibri" w:eastAsia="Calibri" w:hAnsi="Calibri"/>
          <w:b/>
          <w:bCs/>
          <w:color w:val="14161B"/>
          <w:sz w:val="22"/>
          <w:szCs w:val="22"/>
        </w:rPr>
        <w:t xml:space="preserve">5. MAKING THE OFFER</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offer shall state the job title, salary broken into </w:t>
      </w:r>
      <w:r>
        <w:rPr>
          <w:rFonts w:ascii="Calibri" w:cs="Calibri" w:eastAsia="Calibri" w:hAnsi="Calibri"/>
          <w:b/>
          <w:bCs/>
          <w:sz w:val="21"/>
          <w:szCs w:val="21"/>
        </w:rPr>
        <w:t xml:space="preserve">basic and allowances</w:t>
      </w:r>
      <w:r>
        <w:rPr>
          <w:rFonts w:ascii="Calibri" w:cs="Calibri" w:eastAsia="Calibri" w:hAnsi="Calibri"/>
          <w:sz w:val="21"/>
          <w:szCs w:val="21"/>
        </w:rPr>
        <w:t xml:space="preserve">, benefits, probation, notice, location and start date.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The offer must match what is later registered</w:t>
      </w:r>
      <w:r>
        <w:rPr>
          <w:rFonts w:ascii="Calibri" w:cs="Calibri" w:eastAsia="Calibri" w:hAnsi="Calibri"/>
          <w:sz w:val="21"/>
          <w:szCs w:val="21"/>
        </w:rPr>
        <w:t xml:space="preserve"> with MOHRE or the zone. A discrepancy between the offer, the registered contract and the WPS payment is visible and is a compliance breach.</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offer shall state that it is </w:t>
      </w:r>
      <w:r>
        <w:rPr>
          <w:rFonts w:ascii="Calibri" w:cs="Calibri" w:eastAsia="Calibri" w:hAnsi="Calibri"/>
          <w:b/>
          <w:bCs/>
          <w:sz w:val="21"/>
          <w:szCs w:val="21"/>
        </w:rPr>
        <w:t xml:space="preserve">conditional on the work permit and visa being issued</w:t>
      </w:r>
      <w:r>
        <w:rPr>
          <w:rFonts w:ascii="Calibri" w:cs="Calibri" w:eastAsia="Calibri" w:hAnsi="Calibri"/>
          <w:sz w:val="21"/>
          <w:szCs w:val="21"/>
        </w:rPr>
        <w:t xml:space="preserve">, and that employment may not begin before then.</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Explain the </w:t>
      </w:r>
      <w:r>
        <w:rPr>
          <w:rFonts w:ascii="Calibri" w:cs="Calibri" w:eastAsia="Calibri" w:hAnsi="Calibri"/>
          <w:b/>
          <w:bCs/>
          <w:sz w:val="21"/>
          <w:szCs w:val="21"/>
        </w:rPr>
        <w:t xml:space="preserve">basic salary point</w:t>
      </w:r>
      <w:r>
        <w:rPr>
          <w:rFonts w:ascii="Calibri" w:cs="Calibri" w:eastAsia="Calibri" w:hAnsi="Calibri"/>
          <w:sz w:val="21"/>
          <w:szCs w:val="21"/>
        </w:rPr>
        <w:t xml:space="preserve"> at offer stage — gratuity is calculated on basic salary only. Candidates comparing packages rarely know this and feel misled later.</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Confirm that all permit, visa, medical, Emirates ID and recruitment costs are borne by the Company.</w:t>
      </w:r>
    </w:p>
    <w:p>
      <w:pPr>
        <w:keepNext/>
        <w:spacing w:after="120" w:before="280"/>
        <w:outlineLvl w:val="0"/>
      </w:pPr>
      <w:r>
        <w:rPr>
          <w:rFonts w:ascii="Calibri" w:cs="Calibri" w:eastAsia="Calibri" w:hAnsi="Calibri"/>
          <w:b/>
          <w:bCs/>
          <w:color w:val="14161B"/>
          <w:sz w:val="22"/>
          <w:szCs w:val="22"/>
        </w:rPr>
        <w:t xml:space="preserve">6. AGENCIES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 of the agency</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Licensed to provide recruitment services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Written confirmation that no fee is charged to candidates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Audit or information right on that point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Fee basis, timing and any rebate on early departure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 terms covering candidate data</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discriminatory screening or specification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Overseas sub-agents identified and bound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Right to terminate for a breach of the fee prohibition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Item 7 is where the fee prohibition is usually breached — not by the agency you contracted with, but by its sub-agent in the candidate’s home country. Bind the chain, or accept that you cannot see it.</w:t>
      </w:r>
    </w:p>
    <w:p>
      <w:pPr>
        <w:keepNext/>
        <w:spacing w:after="120" w:before="280"/>
        <w:outlineLvl w:val="0"/>
      </w:pPr>
      <w:r>
        <w:rPr>
          <w:rFonts w:ascii="Calibri" w:cs="Calibri" w:eastAsia="Calibri" w:hAnsi="Calibri"/>
          <w:b/>
          <w:bCs/>
          <w:color w:val="14161B"/>
          <w:sz w:val="22"/>
          <w:szCs w:val="22"/>
        </w:rPr>
        <w:t xml:space="preserve">7. RECORDS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Retain</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description and approved requirements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Advertisement as published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r>
              <w:rPr>
                <w:rFonts w:ascii="Calibri" w:cs="Calibri" w:eastAsia="Calibri" w:hAnsi="Calibri"/>
                <w:sz w:val="18"/>
                <w:szCs w:val="18"/>
              </w:rPr>
              <w:t xml:space="preserve"> — evidence of non-discriminatory wording</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Selection reasoning at each stage</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[Nafis advertising and candidates considered]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r>
              <w:rPr>
                <w:rFonts w:ascii="Calibri" w:cs="Calibri" w:eastAsia="Calibri" w:hAnsi="Calibri"/>
                <w:sz w:val="18"/>
                <w:szCs w:val="18"/>
              </w:rPr>
              <w:t xml:space="preserve"> — evidence of Emiratisation effort</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Offer issued and accepted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file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Agency agreement and fee confirmations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Unsuccessful candidate data</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[Short period, then delete]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Candidates may never be charged — including indirectly</w:t>
      </w:r>
    </w:p>
    <w:p>
      <w:pPr>
        <w:spacing w:after="60" w:line="264"/>
        <w:jc w:val="both"/>
      </w:pPr>
      <w:r>
        <w:rPr>
          <w:rFonts w:ascii="Calibri" w:cs="Calibri" w:eastAsia="Calibri" w:hAnsi="Calibri"/>
          <w:sz w:val="19"/>
          <w:szCs w:val="19"/>
        </w:rPr>
        <w:t xml:space="preserve">Recruitment, permit, visa, medical, Emirates ID and health insurance are all employer costs by law. Indirect recovery is equally prohibited: a salary deduction, a package structured to absorb the cost, a repayment clause on early departure, or an agency fee rebated to the employer. This is among the most enforced provisions.</w:t>
      </w:r>
    </w:p>
    <w:p>
      <w:pPr>
        <w:keepNext/>
        <w:spacing w:after="40" w:before="140"/>
      </w:pPr>
      <w:r>
        <w:rPr>
          <w:rFonts w:ascii="Calibri" w:cs="Calibri" w:eastAsia="Calibri" w:hAnsi="Calibri"/>
          <w:b/>
          <w:bCs/>
          <w:color w:val="14161B"/>
          <w:sz w:val="20"/>
          <w:szCs w:val="20"/>
        </w:rPr>
        <w:t xml:space="preserve">The fee breach usually happens in the sub-agent chain</w:t>
      </w:r>
    </w:p>
    <w:p>
      <w:pPr>
        <w:spacing w:after="60" w:line="264"/>
        <w:jc w:val="both"/>
      </w:pPr>
      <w:r>
        <w:rPr>
          <w:rFonts w:ascii="Calibri" w:cs="Calibri" w:eastAsia="Calibri" w:hAnsi="Calibri"/>
          <w:sz w:val="19"/>
          <w:szCs w:val="19"/>
        </w:rPr>
        <w:t xml:space="preserve">Employers contract with a UAE agency in good faith while an overseas sub-agent charges the candidate in their home country. Bind the chain in the agency agreement, require written confirmation, and ask the candidate directly at offer stage.</w:t>
      </w:r>
    </w:p>
    <w:p>
      <w:pPr>
        <w:keepNext/>
        <w:spacing w:after="40" w:before="140"/>
      </w:pPr>
      <w:r>
        <w:rPr>
          <w:rFonts w:ascii="Calibri" w:cs="Calibri" w:eastAsia="Calibri" w:hAnsi="Calibri"/>
          <w:b/>
          <w:bCs/>
          <w:color w:val="14161B"/>
          <w:sz w:val="20"/>
          <w:szCs w:val="20"/>
        </w:rPr>
        <w:t xml:space="preserve">Quota before offer, always</w:t>
      </w:r>
    </w:p>
    <w:p>
      <w:pPr>
        <w:spacing w:after="60" w:line="264"/>
        <w:jc w:val="both"/>
      </w:pPr>
      <w:r>
        <w:rPr>
          <w:rFonts w:ascii="Calibri" w:cs="Calibri" w:eastAsia="Calibri" w:hAnsi="Calibri"/>
          <w:sz w:val="19"/>
          <w:szCs w:val="19"/>
        </w:rPr>
        <w:t xml:space="preserve">An offer made before quota is confirmed is one that may have to be withdrawn after the candidate has resigned elsewhere. That is a poor start, occasionally a claim, and entirely avoidable.</w:t>
      </w:r>
    </w:p>
    <w:p>
      <w:pPr>
        <w:keepNext/>
        <w:spacing w:after="40" w:before="140"/>
      </w:pPr>
      <w:r>
        <w:rPr>
          <w:rFonts w:ascii="Calibri" w:cs="Calibri" w:eastAsia="Calibri" w:hAnsi="Calibri"/>
          <w:b/>
          <w:bCs/>
          <w:color w:val="14161B"/>
          <w:sz w:val="20"/>
          <w:szCs w:val="20"/>
        </w:rPr>
        <w:t xml:space="preserve">Match the job title to a licensed activity</w:t>
      </w:r>
    </w:p>
    <w:p>
      <w:pPr>
        <w:spacing w:after="60" w:line="264"/>
        <w:jc w:val="both"/>
      </w:pPr>
      <w:r>
        <w:rPr>
          <w:rFonts w:ascii="Calibri" w:cs="Calibri" w:eastAsia="Calibri" w:hAnsi="Calibri"/>
          <w:sz w:val="19"/>
          <w:szCs w:val="19"/>
        </w:rPr>
        <w:t xml:space="preserve">Work permits are refused where the role does not correspond to what the company is licensed to do. This surfaces at the permit stage, after the candidate has committed. Check the activity list before advertising.</w:t>
      </w:r>
    </w:p>
    <w:p>
      <w:pPr>
        <w:keepNext/>
        <w:spacing w:after="40" w:before="140"/>
      </w:pPr>
      <w:r>
        <w:rPr>
          <w:rFonts w:ascii="Calibri" w:cs="Calibri" w:eastAsia="Calibri" w:hAnsi="Calibri"/>
          <w:b/>
          <w:bCs/>
          <w:color w:val="14161B"/>
          <w:sz w:val="20"/>
          <w:szCs w:val="20"/>
        </w:rPr>
        <w:t xml:space="preserve">Model the Emiratisation impact of every skilled hire</w:t>
      </w:r>
    </w:p>
    <w:p>
      <w:pPr>
        <w:spacing w:after="60" w:line="264"/>
        <w:jc w:val="both"/>
      </w:pPr>
      <w:r>
        <w:rPr>
          <w:rFonts w:ascii="Calibri" w:cs="Calibri" w:eastAsia="Calibri" w:hAnsi="Calibri"/>
          <w:sz w:val="19"/>
          <w:szCs w:val="19"/>
        </w:rPr>
        <w:t xml:space="preserve">On the mainland each additional skilled non-Emirati employee raises the quota requirement. A company hiring steadily can fall out of compliance without losing a single Emirati employee, and penalties accrue monthly per unfilled position. Recruitment planning and quota compliance are the same exercise.</w:t>
      </w:r>
    </w:p>
    <w:p>
      <w:pPr>
        <w:keepNext/>
        <w:spacing w:after="40" w:before="140"/>
      </w:pPr>
      <w:r>
        <w:rPr>
          <w:rFonts w:ascii="Calibri" w:cs="Calibri" w:eastAsia="Calibri" w:hAnsi="Calibri"/>
          <w:b/>
          <w:bCs/>
          <w:color w:val="14161B"/>
          <w:sz w:val="20"/>
          <w:szCs w:val="20"/>
        </w:rPr>
        <w:t xml:space="preserve">Do not advertise for nationality or "own visa"</w:t>
      </w:r>
    </w:p>
    <w:p>
      <w:pPr>
        <w:spacing w:after="60" w:line="264"/>
        <w:jc w:val="both"/>
      </w:pPr>
      <w:r>
        <w:rPr>
          <w:rFonts w:ascii="Calibri" w:cs="Calibri" w:eastAsia="Calibri" w:hAnsi="Calibri"/>
          <w:sz w:val="19"/>
          <w:szCs w:val="19"/>
        </w:rPr>
        <w:t xml:space="preserve">Both are common in this market and both discriminate on grounds a fairness framework exists to address — "own visa" excludes on family status and confuses a permit question with a preference. Advertisements are visible, permanent and easy to produce in a complaint.</w:t>
      </w:r>
    </w:p>
    <w:p>
      <w:pPr>
        <w:keepNext/>
        <w:spacing w:after="40" w:before="140"/>
      </w:pPr>
      <w:r>
        <w:rPr>
          <w:rFonts w:ascii="Calibri" w:cs="Calibri" w:eastAsia="Calibri" w:hAnsi="Calibri"/>
          <w:b/>
          <w:bCs/>
          <w:color w:val="14161B"/>
          <w:sz w:val="20"/>
          <w:szCs w:val="20"/>
        </w:rPr>
        <w:t xml:space="preserve">Avoid photographs and social media screening</w:t>
      </w:r>
    </w:p>
    <w:p>
      <w:pPr>
        <w:spacing w:after="60" w:line="264"/>
        <w:jc w:val="both"/>
      </w:pPr>
      <w:r>
        <w:rPr>
          <w:rFonts w:ascii="Calibri" w:cs="Calibri" w:eastAsia="Calibri" w:hAnsi="Calibri"/>
          <w:sz w:val="19"/>
          <w:szCs w:val="19"/>
        </w:rPr>
        <w:t xml:space="preserve">Both collect protected characteristics the employer cannot lawfully use and cannot then un-know. Where a decision is later challenged, their presence in the file is difficult to explain.</w:t>
      </w:r>
    </w:p>
    <w:p>
      <w:pPr>
        <w:keepNext/>
        <w:spacing w:after="40" w:before="140"/>
      </w:pPr>
      <w:r>
        <w:rPr>
          <w:rFonts w:ascii="Calibri" w:cs="Calibri" w:eastAsia="Calibri" w:hAnsi="Calibri"/>
          <w:b/>
          <w:bCs/>
          <w:color w:val="14161B"/>
          <w:sz w:val="20"/>
          <w:szCs w:val="20"/>
        </w:rPr>
        <w:t xml:space="preserve">The medical is not a screening tool</w:t>
      </w:r>
    </w:p>
    <w:p>
      <w:pPr>
        <w:spacing w:after="60" w:line="264"/>
        <w:jc w:val="both"/>
      </w:pPr>
      <w:r>
        <w:rPr>
          <w:rFonts w:ascii="Calibri" w:cs="Calibri" w:eastAsia="Calibri" w:hAnsi="Calibri"/>
          <w:sz w:val="19"/>
          <w:szCs w:val="19"/>
        </w:rPr>
        <w:t xml:space="preserve">Medical fitness testing is part of the visa process. Withdrawing an offer on the basis of health information obtained through it raises serious issues and needs advice before, not after.</w:t>
      </w:r>
    </w:p>
    <w:p>
      <w:pPr>
        <w:keepNext/>
        <w:spacing w:after="40" w:before="140"/>
      </w:pPr>
      <w:r>
        <w:rPr>
          <w:rFonts w:ascii="Calibri" w:cs="Calibri" w:eastAsia="Calibri" w:hAnsi="Calibri"/>
          <w:b/>
          <w:bCs/>
          <w:color w:val="14161B"/>
          <w:sz w:val="20"/>
          <w:szCs w:val="20"/>
        </w:rPr>
        <w:t xml:space="preserve">Explain the basic salary point at offer</w:t>
      </w:r>
    </w:p>
    <w:p>
      <w:pPr>
        <w:spacing w:after="60" w:line="264"/>
        <w:jc w:val="both"/>
      </w:pPr>
      <w:r>
        <w:rPr>
          <w:rFonts w:ascii="Calibri" w:cs="Calibri" w:eastAsia="Calibri" w:hAnsi="Calibri"/>
          <w:sz w:val="19"/>
          <w:szCs w:val="19"/>
        </w:rPr>
        <w:t xml:space="preserve">Gratuity is calculated on basic salary alone. A candidate comparing a package weighted towards allowances against one weighted towards basic is comparing different things and will feel misled at the end of service. Say it once, at offer stage.</w:t>
      </w:r>
    </w:p>
    <w:p>
      <w:pPr>
        <w:keepNext/>
        <w:spacing w:after="40" w:before="140"/>
      </w:pPr>
      <w:r>
        <w:rPr>
          <w:rFonts w:ascii="Calibri" w:cs="Calibri" w:eastAsia="Calibri" w:hAnsi="Calibri"/>
          <w:b/>
          <w:bCs/>
          <w:color w:val="14161B"/>
          <w:sz w:val="20"/>
          <w:szCs w:val="20"/>
        </w:rPr>
        <w:t xml:space="preserve">The offer must match the registered contract</w:t>
      </w:r>
    </w:p>
    <w:p>
      <w:pPr>
        <w:spacing w:after="60" w:line="264"/>
        <w:jc w:val="both"/>
      </w:pPr>
      <w:r>
        <w:rPr>
          <w:rFonts w:ascii="Calibri" w:cs="Calibri" w:eastAsia="Calibri" w:hAnsi="Calibri"/>
          <w:sz w:val="19"/>
          <w:szCs w:val="19"/>
        </w:rPr>
        <w:t xml:space="preserve">A discrepancy between the offer, the MOHRE-registered contract and what goes through WPS is visible without anyone complaining, and it is a compliance breach. Draft the offer knowing it will become the registered document.</w:t>
      </w:r>
    </w:p>
    <w:p>
      <w:pPr>
        <w:keepNext/>
        <w:spacing w:after="40" w:before="140"/>
      </w:pPr>
      <w:r>
        <w:rPr>
          <w:rFonts w:ascii="Calibri" w:cs="Calibri" w:eastAsia="Calibri" w:hAnsi="Calibri"/>
          <w:b/>
          <w:bCs/>
          <w:color w:val="14161B"/>
          <w:sz w:val="20"/>
          <w:szCs w:val="20"/>
        </w:rPr>
        <w:t xml:space="preserve">State that employment cannot begin before the permit</w:t>
      </w:r>
    </w:p>
    <w:p>
      <w:pPr>
        <w:spacing w:after="60" w:line="264"/>
        <w:jc w:val="both"/>
      </w:pPr>
      <w:r>
        <w:rPr>
          <w:rFonts w:ascii="Calibri" w:cs="Calibri" w:eastAsia="Calibri" w:hAnsi="Calibri"/>
          <w:sz w:val="19"/>
          <w:szCs w:val="19"/>
        </w:rPr>
        <w:t xml:space="preserve">Making the offer expressly conditional protects both sides and prevents the well-intentioned informal start that is unlawful for the employer and exposes the individual.</w:t>
      </w:r>
    </w:p>
    <w:p>
      <w:pPr>
        <w:keepNext/>
        <w:spacing w:after="40" w:before="140"/>
      </w:pPr>
      <w:r>
        <w:rPr>
          <w:rFonts w:ascii="Calibri" w:cs="Calibri" w:eastAsia="Calibri" w:hAnsi="Calibri"/>
          <w:b/>
          <w:bCs/>
          <w:color w:val="14161B"/>
          <w:sz w:val="20"/>
          <w:szCs w:val="20"/>
        </w:rPr>
        <w:t xml:space="preserve">Start attestation before the offer</w:t>
      </w:r>
    </w:p>
    <w:p>
      <w:pPr>
        <w:spacing w:after="60" w:line="264"/>
        <w:jc w:val="both"/>
      </w:pPr>
      <w:r>
        <w:rPr>
          <w:rFonts w:ascii="Calibri" w:cs="Calibri" w:eastAsia="Calibri" w:hAnsi="Calibri"/>
          <w:sz w:val="19"/>
          <w:szCs w:val="19"/>
        </w:rPr>
        <w:t xml:space="preserve">Where a role requires attested qualifications, the chain through the issuing country, the embassy and the Ministry of Foreign Affairs takes weeks. Beginning it after the permit application is refused for a missing document costs the start date.</w:t>
      </w:r>
    </w:p>
    <w:p>
      <w:pPr>
        <w:keepNext/>
        <w:spacing w:after="40" w:before="140"/>
      </w:pPr>
      <w:r>
        <w:rPr>
          <w:rFonts w:ascii="Calibri" w:cs="Calibri" w:eastAsia="Calibri" w:hAnsi="Calibri"/>
          <w:b/>
          <w:bCs/>
          <w:color w:val="14161B"/>
          <w:sz w:val="20"/>
          <w:szCs w:val="20"/>
        </w:rPr>
        <w:t xml:space="preserve">Record the selection reasoning</w:t>
      </w:r>
    </w:p>
    <w:p>
      <w:pPr>
        <w:spacing w:after="60" w:line="264"/>
        <w:jc w:val="both"/>
      </w:pPr>
      <w:r>
        <w:rPr>
          <w:rFonts w:ascii="Calibri" w:cs="Calibri" w:eastAsia="Calibri" w:hAnsi="Calibri"/>
          <w:sz w:val="19"/>
          <w:szCs w:val="19"/>
        </w:rPr>
        <w:t xml:space="preserve">Selection against written requirements, with reasoning recorded at each stage, is what distinguishes a defensible decision from one that merely happened. It costs a few lines per candidate and it is the only evidence available later.</w:t>
      </w:r>
    </w:p>
    <w:p>
      <w:pPr>
        <w:keepNext/>
        <w:spacing w:after="40" w:before="140"/>
      </w:pPr>
      <w:r>
        <w:rPr>
          <w:rFonts w:ascii="Calibri" w:cs="Calibri" w:eastAsia="Calibri" w:hAnsi="Calibri"/>
          <w:b/>
          <w:bCs/>
          <w:color w:val="14161B"/>
          <w:sz w:val="20"/>
          <w:szCs w:val="20"/>
        </w:rPr>
        <w:t xml:space="preserve">Delete unsuccessful candidate data</w:t>
      </w:r>
    </w:p>
    <w:p>
      <w:pPr>
        <w:spacing w:after="60" w:line="264"/>
        <w:jc w:val="both"/>
      </w:pPr>
      <w:r>
        <w:rPr>
          <w:rFonts w:ascii="Calibri" w:cs="Calibri" w:eastAsia="Calibri" w:hAnsi="Calibri"/>
          <w:sz w:val="19"/>
          <w:szCs w:val="19"/>
        </w:rPr>
        <w:t xml:space="preserve">CVs, references and interview notes are personal data with no continuing purpose once the role is filled. Retaining them indefinitely breaches storage limitation and expands the data you must protect for no benefit.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Permit categories and quota rules, Emiratisation targets, the prohibition on charging candidates, discrimination provisions and data protection requirements all change, and free zone, DIFC and ADGM procedures differ — confirm with MOHRE or the relevant authority before each hiring campaign.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2026-08-23T16:28:36.314Z</dcterms:created>
  <dcterms:modified xsi:type="dcterms:W3CDTF">2026-08-23T16:28:36.314Z</dcterms:modified>
</cp:coreProperties>
</file>

<file path=docProps/custom.xml><?xml version="1.0" encoding="utf-8"?>
<Properties xmlns="http://schemas.openxmlformats.org/officeDocument/2006/custom-properties" xmlns:vt="http://schemas.openxmlformats.org/officeDocument/2006/docPropsVTypes"/>
</file>