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RECORD RETENTION</w:t>
      </w:r>
    </w:p>
    <w:p>
      <w:pPr>
        <w:spacing w:after="260"/>
        <w:jc w:val="center"/>
      </w:pPr>
      <w:r>
        <w:rPr>
          <w:rFonts w:ascii="Calibri" w:cs="Calibri" w:eastAsia="Calibri" w:hAnsi="Calibri"/>
          <w:i/>
          <w:iCs/>
          <w:color w:val="6E7480"/>
          <w:sz w:val="19"/>
          <w:szCs w:val="19"/>
        </w:rPr>
        <w:t xml:space="preserve">What to keep, for how long, and what to delete</w:t>
      </w:r>
    </w:p>
    <w:p>
      <w:pPr>
        <w:spacing w:after="180" w:before="0" w:line="276"/>
        <w:jc w:val="both"/>
      </w:pPr>
      <w:r>
        <w:rPr>
          <w:rFonts w:ascii="Calibri" w:cs="Calibri" w:eastAsia="Calibri" w:hAnsi="Calibri"/>
          <w:i/>
          <w:iCs/>
          <w:color w:val="6E7480"/>
          <w:sz w:val="21"/>
          <w:szCs w:val="21"/>
        </w:rPr>
        <w:t xml:space="preserve">Two forces pull in opposite directions. </w:t>
      </w:r>
      <w:r>
        <w:rPr>
          <w:rFonts w:ascii="Calibri" w:cs="Calibri" w:eastAsia="Calibri" w:hAnsi="Calibri"/>
          <w:b/>
          <w:bCs/>
          <w:i/>
          <w:iCs/>
          <w:color w:val="6E7480"/>
          <w:sz w:val="21"/>
          <w:szCs w:val="21"/>
        </w:rPr>
        <w:t xml:space="preserve">Tax law requires seven years</w:t>
      </w:r>
      <w:r>
        <w:rPr>
          <w:rFonts w:ascii="Calibri" w:cs="Calibri" w:eastAsia="Calibri" w:hAnsi="Calibri"/>
          <w:i/>
          <w:iCs/>
          <w:color w:val="6E7480"/>
          <w:sz w:val="21"/>
          <w:szCs w:val="21"/>
        </w:rPr>
        <w:t xml:space="preserve">, and corporate records are needed permanently. </w:t>
      </w:r>
      <w:r>
        <w:rPr>
          <w:rFonts w:ascii="Calibri" w:cs="Calibri" w:eastAsia="Calibri" w:hAnsi="Calibri"/>
          <w:b/>
          <w:bCs/>
          <w:i/>
          <w:iCs/>
          <w:color w:val="6E7480"/>
          <w:sz w:val="21"/>
          <w:szCs w:val="21"/>
        </w:rPr>
        <w:t xml:space="preserve">Data protection requires personal data not be kept longer than necessary.</w:t>
      </w:r>
      <w:r>
        <w:rPr>
          <w:rFonts w:ascii="Calibri" w:cs="Calibri" w:eastAsia="Calibri" w:hAnsi="Calibri"/>
          <w:i/>
          <w:iCs/>
          <w:color w:val="6E7480"/>
          <w:sz w:val="21"/>
          <w:szCs w:val="21"/>
        </w:rPr>
        <w:t xml:space="preserve"> A retention schedule is where those are reconciled — and "keep everything forever" fails the second one.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469"/>
        <w:gridCol w:w="6169"/>
      </w:tblGrid>
      <w:tr>
        <w:trPr>
          <w:cantSplit/>
          <w:tblHeader/>
        </w:trPr>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1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Organisation</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w:t>
            </w:r>
            <w:r>
              <w:rPr>
                <w:rFonts w:ascii="Calibri" w:cs="Calibri" w:eastAsia="Calibri" w:hAnsi="Calibri"/>
                <w:b/>
                <w:bCs/>
                <w:sz w:val="19"/>
                <w:szCs w:val="19"/>
              </w:rPr>
              <w:t xml:space="preserve">[licence]</w:t>
            </w:r>
            <w:r>
              <w:rPr>
                <w:rFonts w:ascii="Calibri" w:cs="Calibri" w:eastAsia="Calibri" w:hAnsi="Calibri"/>
                <w:sz w:val="19"/>
                <w:szCs w:val="19"/>
              </w:rPr>
              <w:t xml:space="preserve"> </w:t>
            </w:r>
            <w:r>
              <w:rPr>
                <w:rFonts w:ascii="Calibri" w:cs="Calibri" w:eastAsia="Calibri" w:hAnsi="Calibri"/>
                <w:b/>
                <w:bCs/>
                <w:sz w:val="19"/>
                <w:szCs w:val="19"/>
              </w:rPr>
              <w:t xml:space="preserve">[NUMBER]</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Data protection regime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[Federal PDPL / DIFC / ADGM]</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Owner of this schedule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[DESIGNATION]</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Tax retention baseline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Seven years from the end of the tax period</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Storage — physical</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[LOCATION]</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Storage — digital</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[SYSTEM]</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Deletion carried out</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[Annually, in ______]</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Last review</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bl>
    <w:p>
      <w:pPr>
        <w:spacing w:after="180"/>
      </w:pPr>
    </w:p>
    <w:p>
      <w:pPr>
        <w:keepNext/>
        <w:spacing w:after="120" w:before="280"/>
        <w:outlineLvl w:val="0"/>
      </w:pPr>
      <w:r>
        <w:rPr>
          <w:rFonts w:ascii="Calibri" w:cs="Calibri" w:eastAsia="Calibri" w:hAnsi="Calibri"/>
          <w:b/>
          <w:bCs/>
          <w:color w:val="14161B"/>
          <w:sz w:val="22"/>
          <w:szCs w:val="22"/>
        </w:rPr>
        <w:t xml:space="preserve">1. THE TWO RULES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313"/>
        <w:gridCol w:w="7325"/>
      </w:tblGrid>
      <w:tr>
        <w:trPr>
          <w:cantSplit/>
          <w:tblHeader/>
        </w:trPr>
        <w:tc>
          <w:tcPr>
            <w:tcW w:type="dxa" w:w="23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Rule</w:t>
            </w:r>
          </w:p>
        </w:tc>
        <w:tc>
          <w:tcPr>
            <w:tcW w:type="dxa" w:w="732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Effect</w:t>
            </w:r>
          </w:p>
        </w:tc>
      </w:tr>
      <w:tr>
        <w:trPr>
          <w:cantSplit/>
        </w:trP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Keep it long enough</w:t>
            </w:r>
          </w:p>
        </w:tc>
        <w:tc>
          <w:tcPr>
            <w:tcW w:type="dxa" w:w="732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Corporate tax and VAT require seven years from the end of the relevant tax period. Corporate records are needed permanently. Employment and litigation records are needed while a claim is possible</w:t>
            </w:r>
          </w:p>
        </w:tc>
      </w:tr>
      <w:tr>
        <w:trPr>
          <w:cantSplit/>
        </w:trP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Do not keep it too long</w:t>
            </w:r>
          </w:p>
        </w:tc>
        <w:tc>
          <w:tcPr>
            <w:tcW w:type="dxa" w:w="732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Personal data must not be retained beyond what is necessary. Indefinite retention breaches storage limitation and expands what must be protected in a breach</w:t>
            </w:r>
          </w:p>
        </w:tc>
      </w:tr>
      <w:tr>
        <w:trPr>
          <w:cantSplit/>
        </w:trP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Where they conflict</w:t>
            </w:r>
          </w:p>
        </w:tc>
        <w:tc>
          <w:tcPr>
            <w:tcW w:type="dxa" w:w="732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 legal obligation to retain generally prevails over an erasure request — but only for the data actually required, and only for as long as required</w:t>
            </w:r>
          </w:p>
        </w:tc>
      </w:tr>
    </w:tbl>
    <w:p>
      <w:pPr>
        <w:spacing w:after="140"/>
      </w:pP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i/>
          <w:iCs/>
          <w:sz w:val="21"/>
          <w:szCs w:val="21"/>
        </w:rPr>
        <w:t xml:space="preserve">"We keep everything" is not a policy. It fails storage limitation, it makes subject access requests expensive, and it means a breach exposes a decade of data instead of a year of it.</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b/>
          <w:bCs/>
          <w:sz w:val="21"/>
          <w:szCs w:val="21"/>
        </w:rPr>
        <w:t xml:space="preserve">Seven years runs from the end of the tax period, not from the transaction.</w:t>
      </w:r>
      <w:r>
        <w:rPr>
          <w:rFonts w:ascii="Calibri" w:cs="Calibri" w:eastAsia="Calibri" w:hAnsi="Calibri"/>
          <w:sz w:val="21"/>
          <w:szCs w:val="21"/>
        </w:rPr>
        <w:t xml:space="preserve"> An invoice from early in a financial year is retained for nearly eight years in practice.</w:t>
      </w:r>
    </w:p>
    <w:p>
      <w:pPr>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pPr>
    </w:p>
    <w:p>
      <w:pPr>
        <w:spacing w:after="240" w:before="240"/>
        <w:jc w:val="center"/>
      </w:pPr>
      <w:r>
        <w:rPr>
          <w:rFonts w:ascii="Calibri" w:cs="Calibri" w:eastAsia="Calibri" w:hAnsi="Calibri"/>
          <w:b/>
          <w:bCs/>
          <w:color w:val="14161B"/>
          <w:spacing w:val="12"/>
          <w:sz w:val="28"/>
          <w:szCs w:val="28"/>
        </w:rPr>
        <w:t xml:space="preserve">2. RETENTION SCHEDULE</w:t>
      </w:r>
    </w:p>
    <w:tbl>
      <w:tblPr>
        <w:tblW w:type="dxa" w:w="15038"/>
        <w:tblBorders>
          <w:top w:val="single" w:color="B9BEC8" w:sz="4"/>
          <w:left w:val="single" w:color="B9BEC8" w:sz="4"/>
          <w:bottom w:val="single" w:color="B9BEC8" w:sz="4"/>
          <w:right w:val="single" w:color="B9BEC8" w:sz="4"/>
          <w:insideH w:val="single" w:color="D3D7DF" w:sz="2"/>
          <w:insideV w:val="single" w:color="D3D7DF" w:sz="2"/>
        </w:tblBorders>
      </w:tblPr>
      <w:tblGrid>
        <w:gridCol w:w="5112"/>
        <w:gridCol w:w="3007"/>
        <w:gridCol w:w="3007"/>
        <w:gridCol w:w="1804"/>
        <w:gridCol w:w="2108"/>
      </w:tblGrid>
      <w:tr>
        <w:trPr>
          <w:cantSplit/>
          <w:tblHeader/>
        </w:trPr>
        <w:tc>
          <w:tcPr>
            <w:tcW w:type="dxa" w:w="511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Record</w:t>
            </w:r>
          </w:p>
        </w:tc>
        <w:tc>
          <w:tcPr>
            <w:tcW w:type="dxa" w:w="300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Retain for</w:t>
            </w:r>
          </w:p>
        </w:tc>
        <w:tc>
          <w:tcPr>
            <w:tcW w:type="dxa" w:w="300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Why</w:t>
            </w:r>
          </w:p>
        </w:tc>
        <w:tc>
          <w:tcPr>
            <w:tcW w:type="dxa" w:w="180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Personal data?</w:t>
            </w:r>
          </w:p>
        </w:tc>
        <w:tc>
          <w:tcPr>
            <w:tcW w:type="dxa" w:w="210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Owner</w:t>
            </w:r>
          </w:p>
        </w:tc>
      </w:tr>
      <w:tr>
        <w:trPr>
          <w:cantSplit/>
        </w:trPr>
        <w:tc>
          <w:tcPr>
            <w:tcW w:type="dxa" w:w="5112"/>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CORPORATE</w:t>
            </w:r>
          </w:p>
        </w:tc>
        <w:tc>
          <w:tcPr>
            <w:tcW w:type="dxa" w:w="3007"/>
            <w:tcMar>
              <w:top w:type="dxa" w:w="70"/>
              <w:left w:type="dxa" w:w="100"/>
              <w:bottom w:type="dxa" w:w="70"/>
              <w:right w:type="dxa" w:w="100"/>
            </w:tcMar>
            <w:vAlign w:val="center"/>
          </w:tcPr>
          <w:p>
            <w:pPr>
              <w:spacing w:after="0" w:line="240"/>
              <w:jc w:val="left"/>
            </w:pPr>
          </w:p>
        </w:tc>
        <w:tc>
          <w:tcPr>
            <w:tcW w:type="dxa" w:w="3007"/>
            <w:tcMar>
              <w:top w:type="dxa" w:w="70"/>
              <w:left w:type="dxa" w:w="100"/>
              <w:bottom w:type="dxa" w:w="70"/>
              <w:right w:type="dxa" w:w="100"/>
            </w:tcMar>
            <w:vAlign w:val="center"/>
          </w:tcPr>
          <w:p>
            <w:pPr>
              <w:spacing w:after="0" w:line="240"/>
              <w:jc w:val="left"/>
            </w:pPr>
          </w:p>
        </w:tc>
        <w:tc>
          <w:tcPr>
            <w:tcW w:type="dxa" w:w="1804"/>
            <w:tcMar>
              <w:top w:type="dxa" w:w="70"/>
              <w:left w:type="dxa" w:w="100"/>
              <w:bottom w:type="dxa" w:w="70"/>
              <w:right w:type="dxa" w:w="100"/>
            </w:tcMar>
            <w:vAlign w:val="center"/>
          </w:tcPr>
          <w:p>
            <w:pPr>
              <w:spacing w:after="0" w:line="240"/>
              <w:jc w:val="left"/>
            </w:pPr>
          </w:p>
        </w:tc>
        <w:tc>
          <w:tcPr>
            <w:tcW w:type="dxa" w:w="2108"/>
            <w:tcMar>
              <w:top w:type="dxa" w:w="70"/>
              <w:left w:type="dxa" w:w="100"/>
              <w:bottom w:type="dxa" w:w="70"/>
              <w:right w:type="dxa" w:w="100"/>
            </w:tcMar>
            <w:vAlign w:val="center"/>
          </w:tcPr>
          <w:p>
            <w:pPr>
              <w:spacing w:after="0" w:line="240"/>
              <w:jc w:val="left"/>
            </w:pPr>
          </w:p>
        </w:tc>
      </w:tr>
      <w:tr>
        <w:trPr>
          <w:cantSplit/>
        </w:trPr>
        <w:tc>
          <w:tcPr>
            <w:tcW w:type="dxa" w:w="5112"/>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Trade licence and all renewals</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Permanently</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Corporate history</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No</w:t>
            </w:r>
          </w:p>
        </w:tc>
        <w:tc>
          <w:tcPr>
            <w:tcW w:type="dxa" w:w="2108"/>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[Admin]</w:t>
            </w:r>
          </w:p>
        </w:tc>
      </w:tr>
      <w:tr>
        <w:trPr>
          <w:cantSplit/>
        </w:trPr>
        <w:tc>
          <w:tcPr>
            <w:tcW w:type="dxa" w:w="5112"/>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Notarised MOA and every amendment</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Permanently</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Constitutional record</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Some</w:t>
            </w:r>
          </w:p>
        </w:tc>
        <w:tc>
          <w:tcPr>
            <w:tcW w:type="dxa" w:w="2108"/>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[CoSec]</w:t>
            </w:r>
          </w:p>
        </w:tc>
      </w:tr>
      <w:tr>
        <w:trPr>
          <w:cantSplit/>
        </w:trPr>
        <w:tc>
          <w:tcPr>
            <w:tcW w:type="dxa" w:w="5112"/>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Certificate of incorporation or registration</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Permanently</w:t>
            </w:r>
          </w:p>
        </w:tc>
        <w:tc>
          <w:tcPr>
            <w:tcW w:type="dxa" w:w="3007"/>
            <w:tcMar>
              <w:top w:type="dxa" w:w="70"/>
              <w:left w:type="dxa" w:w="100"/>
              <w:bottom w:type="dxa" w:w="70"/>
              <w:right w:type="dxa" w:w="100"/>
            </w:tcMar>
            <w:vAlign w:val="center"/>
          </w:tcPr>
          <w:p>
            <w:pPr>
              <w:spacing w:after="0" w:line="240"/>
              <w:jc w:val="left"/>
            </w:pP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No</w:t>
            </w:r>
          </w:p>
        </w:tc>
        <w:tc>
          <w:tcPr>
            <w:tcW w:type="dxa" w:w="2108"/>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[CoSec]</w:t>
            </w:r>
          </w:p>
        </w:tc>
      </w:tr>
      <w:tr>
        <w:trPr>
          <w:cantSplit/>
        </w:trPr>
        <w:tc>
          <w:tcPr>
            <w:tcW w:type="dxa" w:w="5112"/>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Shareholder register and share transfers</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Permanently</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Title chain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Yes</w:t>
            </w:r>
          </w:p>
        </w:tc>
        <w:tc>
          <w:tcPr>
            <w:tcW w:type="dxa" w:w="2108"/>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[CoSec]</w:t>
            </w:r>
          </w:p>
        </w:tc>
      </w:tr>
      <w:tr>
        <w:trPr>
          <w:cantSplit/>
        </w:trPr>
        <w:tc>
          <w:tcPr>
            <w:tcW w:type="dxa" w:w="5112"/>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Resolutions and minutes</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Permanently</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Governance record</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Some</w:t>
            </w:r>
          </w:p>
        </w:tc>
        <w:tc>
          <w:tcPr>
            <w:tcW w:type="dxa" w:w="2108"/>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[CoSec]</w:t>
            </w:r>
          </w:p>
        </w:tc>
      </w:tr>
      <w:tr>
        <w:trPr>
          <w:cantSplit/>
        </w:trPr>
        <w:tc>
          <w:tcPr>
            <w:tcW w:type="dxa" w:w="5112"/>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UBO register and filings</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Current + history</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Statutory</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Yes</w:t>
            </w:r>
          </w:p>
        </w:tc>
        <w:tc>
          <w:tcPr>
            <w:tcW w:type="dxa" w:w="2108"/>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[CoSec]</w:t>
            </w:r>
          </w:p>
        </w:tc>
      </w:tr>
      <w:tr>
        <w:trPr>
          <w:cantSplit/>
        </w:trPr>
        <w:tc>
          <w:tcPr>
            <w:tcW w:type="dxa" w:w="5112"/>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Powers of attorney granted and revoked</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Permanently</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Authority record</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Yes</w:t>
            </w:r>
          </w:p>
        </w:tc>
        <w:tc>
          <w:tcPr>
            <w:tcW w:type="dxa" w:w="2108"/>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[CoSec]</w:t>
            </w:r>
          </w:p>
        </w:tc>
      </w:tr>
      <w:tr>
        <w:trPr>
          <w:cantSplit/>
        </w:trPr>
        <w:tc>
          <w:tcPr>
            <w:tcW w:type="dxa" w:w="5112"/>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Tenancy contracts and registrations</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Current + </w:t>
            </w:r>
            <w:r>
              <w:rPr>
                <w:rFonts w:ascii="Calibri" w:cs="Calibri" w:eastAsia="Calibri" w:hAnsi="Calibri"/>
                <w:b/>
                <w:bCs/>
                <w:sz w:val="14"/>
                <w:szCs w:val="14"/>
              </w:rPr>
              <w:t xml:space="preserve">[7]</w:t>
            </w:r>
            <w:r>
              <w:rPr>
                <w:rFonts w:ascii="Calibri" w:cs="Calibri" w:eastAsia="Calibri" w:hAnsi="Calibri"/>
                <w:sz w:val="14"/>
                <w:szCs w:val="14"/>
              </w:rPr>
              <w:t xml:space="preserve"> years</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Licence chain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No</w:t>
            </w:r>
          </w:p>
        </w:tc>
        <w:tc>
          <w:tcPr>
            <w:tcW w:type="dxa" w:w="2108"/>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[Admin]</w:t>
            </w:r>
          </w:p>
        </w:tc>
      </w:tr>
      <w:tr>
        <w:trPr>
          <w:cantSplit/>
        </w:trPr>
        <w:tc>
          <w:tcPr>
            <w:tcW w:type="dxa" w:w="5112"/>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TAX AND FINANCE</w:t>
            </w:r>
          </w:p>
        </w:tc>
        <w:tc>
          <w:tcPr>
            <w:tcW w:type="dxa" w:w="3007"/>
            <w:tcMar>
              <w:top w:type="dxa" w:w="70"/>
              <w:left w:type="dxa" w:w="100"/>
              <w:bottom w:type="dxa" w:w="70"/>
              <w:right w:type="dxa" w:w="100"/>
            </w:tcMar>
            <w:vAlign w:val="center"/>
          </w:tcPr>
          <w:p>
            <w:pPr>
              <w:spacing w:after="0" w:line="240"/>
              <w:jc w:val="left"/>
            </w:pPr>
          </w:p>
        </w:tc>
        <w:tc>
          <w:tcPr>
            <w:tcW w:type="dxa" w:w="3007"/>
            <w:tcMar>
              <w:top w:type="dxa" w:w="70"/>
              <w:left w:type="dxa" w:w="100"/>
              <w:bottom w:type="dxa" w:w="70"/>
              <w:right w:type="dxa" w:w="100"/>
            </w:tcMar>
            <w:vAlign w:val="center"/>
          </w:tcPr>
          <w:p>
            <w:pPr>
              <w:spacing w:after="0" w:line="240"/>
              <w:jc w:val="left"/>
            </w:pPr>
          </w:p>
        </w:tc>
        <w:tc>
          <w:tcPr>
            <w:tcW w:type="dxa" w:w="1804"/>
            <w:tcMar>
              <w:top w:type="dxa" w:w="70"/>
              <w:left w:type="dxa" w:w="100"/>
              <w:bottom w:type="dxa" w:w="70"/>
              <w:right w:type="dxa" w:w="100"/>
            </w:tcMar>
            <w:vAlign w:val="center"/>
          </w:tcPr>
          <w:p>
            <w:pPr>
              <w:spacing w:after="0" w:line="240"/>
              <w:jc w:val="left"/>
            </w:pPr>
          </w:p>
        </w:tc>
        <w:tc>
          <w:tcPr>
            <w:tcW w:type="dxa" w:w="2108"/>
            <w:tcMar>
              <w:top w:type="dxa" w:w="70"/>
              <w:left w:type="dxa" w:w="100"/>
              <w:bottom w:type="dxa" w:w="70"/>
              <w:right w:type="dxa" w:w="100"/>
            </w:tcMar>
            <w:vAlign w:val="center"/>
          </w:tcPr>
          <w:p>
            <w:pPr>
              <w:spacing w:after="0" w:line="240"/>
              <w:jc w:val="left"/>
            </w:pPr>
          </w:p>
        </w:tc>
      </w:tr>
      <w:tr>
        <w:trPr>
          <w:cantSplit/>
        </w:trPr>
        <w:tc>
          <w:tcPr>
            <w:tcW w:type="dxa" w:w="5112"/>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Accounting records and general ledger</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7 years from period end</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Corporate tax</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Some</w:t>
            </w:r>
          </w:p>
        </w:tc>
        <w:tc>
          <w:tcPr>
            <w:tcW w:type="dxa" w:w="2108"/>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[Finance]</w:t>
            </w:r>
          </w:p>
        </w:tc>
      </w:tr>
      <w:tr>
        <w:trPr>
          <w:cantSplit/>
        </w:trPr>
        <w:tc>
          <w:tcPr>
            <w:tcW w:type="dxa" w:w="5112"/>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Financial statements and audit reports</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7 years</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Corporate tax</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No</w:t>
            </w:r>
          </w:p>
        </w:tc>
        <w:tc>
          <w:tcPr>
            <w:tcW w:type="dxa" w:w="2108"/>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[Finance]</w:t>
            </w:r>
          </w:p>
        </w:tc>
      </w:tr>
      <w:tr>
        <w:trPr>
          <w:cantSplit/>
        </w:trPr>
        <w:tc>
          <w:tcPr>
            <w:tcW w:type="dxa" w:w="5112"/>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Tax invoices issued and received</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7 years</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VAT and CT</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Some</w:t>
            </w:r>
          </w:p>
        </w:tc>
        <w:tc>
          <w:tcPr>
            <w:tcW w:type="dxa" w:w="2108"/>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[Finance]</w:t>
            </w:r>
          </w:p>
        </w:tc>
      </w:tr>
      <w:tr>
        <w:trPr>
          <w:cantSplit/>
        </w:trPr>
        <w:tc>
          <w:tcPr>
            <w:tcW w:type="dxa" w:w="5112"/>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Corporate tax and VAT returns and filings</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7 years</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Statutory</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No</w:t>
            </w:r>
          </w:p>
        </w:tc>
        <w:tc>
          <w:tcPr>
            <w:tcW w:type="dxa" w:w="2108"/>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[Finance]</w:t>
            </w:r>
          </w:p>
        </w:tc>
      </w:tr>
      <w:tr>
        <w:trPr>
          <w:cantSplit/>
        </w:trPr>
        <w:tc>
          <w:tcPr>
            <w:tcW w:type="dxa" w:w="5112"/>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Free zone qualifying income and de minimis workings</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7 years</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QFZP evidence</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No</w:t>
            </w:r>
          </w:p>
        </w:tc>
        <w:tc>
          <w:tcPr>
            <w:tcW w:type="dxa" w:w="2108"/>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[Finance]</w:t>
            </w:r>
          </w:p>
        </w:tc>
      </w:tr>
      <w:tr>
        <w:trPr>
          <w:cantSplit/>
        </w:trPr>
        <w:tc>
          <w:tcPr>
            <w:tcW w:type="dxa" w:w="5112"/>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Substance evidence — premises, payroll, activity</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7 years</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QFZP and residence</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Some</w:t>
            </w:r>
          </w:p>
        </w:tc>
        <w:tc>
          <w:tcPr>
            <w:tcW w:type="dxa" w:w="2108"/>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[Finance]</w:t>
            </w:r>
          </w:p>
        </w:tc>
      </w:tr>
      <w:tr>
        <w:trPr>
          <w:cantSplit/>
        </w:trPr>
        <w:tc>
          <w:tcPr>
            <w:tcW w:type="dxa" w:w="5112"/>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Transfer pricing documentation and agreements</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7 years</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Statutory</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No</w:t>
            </w:r>
          </w:p>
        </w:tc>
        <w:tc>
          <w:tcPr>
            <w:tcW w:type="dxa" w:w="2108"/>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[Finance]</w:t>
            </w:r>
          </w:p>
        </w:tc>
      </w:tr>
      <w:tr>
        <w:trPr>
          <w:cantSplit/>
        </w:trPr>
        <w:tc>
          <w:tcPr>
            <w:tcW w:type="dxa" w:w="5112"/>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Bank statements and reconciliations</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7 years</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Audit trail</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Some</w:t>
            </w:r>
          </w:p>
        </w:tc>
        <w:tc>
          <w:tcPr>
            <w:tcW w:type="dxa" w:w="2108"/>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[Finance]</w:t>
            </w:r>
          </w:p>
        </w:tc>
      </w:tr>
      <w:tr>
        <w:trPr>
          <w:cantSplit/>
        </w:trPr>
        <w:tc>
          <w:tcPr>
            <w:tcW w:type="dxa" w:w="5112"/>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Cheque log including post-dated cheques</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Until returned + </w:t>
            </w:r>
            <w:r>
              <w:rPr>
                <w:rFonts w:ascii="Calibri" w:cs="Calibri" w:eastAsia="Calibri" w:hAnsi="Calibri"/>
                <w:b/>
                <w:bCs/>
                <w:sz w:val="14"/>
                <w:szCs w:val="14"/>
              </w:rPr>
              <w:t xml:space="preserve">[3]</w:t>
            </w:r>
            <w:r>
              <w:rPr>
                <w:rFonts w:ascii="Calibri" w:cs="Calibri" w:eastAsia="Calibri" w:hAnsi="Calibri"/>
                <w:sz w:val="14"/>
                <w:szCs w:val="14"/>
              </w:rPr>
              <w:t xml:space="preserve"> years</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Live liability</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Some</w:t>
            </w:r>
          </w:p>
        </w:tc>
        <w:tc>
          <w:tcPr>
            <w:tcW w:type="dxa" w:w="2108"/>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[Finance]</w:t>
            </w:r>
          </w:p>
        </w:tc>
      </w:tr>
      <w:tr>
        <w:trPr>
          <w:cantSplit/>
        </w:trPr>
        <w:tc>
          <w:tcPr>
            <w:tcW w:type="dxa" w:w="5112"/>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Expense claims and approvals</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7 years</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Tax deduction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Yes</w:t>
            </w:r>
          </w:p>
        </w:tc>
        <w:tc>
          <w:tcPr>
            <w:tcW w:type="dxa" w:w="2108"/>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[Finance]</w:t>
            </w:r>
          </w:p>
        </w:tc>
      </w:tr>
      <w:tr>
        <w:trPr>
          <w:cantSplit/>
        </w:trPr>
        <w:tc>
          <w:tcPr>
            <w:tcW w:type="dxa" w:w="5112"/>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EMPLOYMENT</w:t>
            </w:r>
          </w:p>
        </w:tc>
        <w:tc>
          <w:tcPr>
            <w:tcW w:type="dxa" w:w="3007"/>
            <w:tcMar>
              <w:top w:type="dxa" w:w="70"/>
              <w:left w:type="dxa" w:w="100"/>
              <w:bottom w:type="dxa" w:w="70"/>
              <w:right w:type="dxa" w:w="100"/>
            </w:tcMar>
            <w:vAlign w:val="center"/>
          </w:tcPr>
          <w:p>
            <w:pPr>
              <w:spacing w:after="0" w:line="240"/>
              <w:jc w:val="left"/>
            </w:pPr>
          </w:p>
        </w:tc>
        <w:tc>
          <w:tcPr>
            <w:tcW w:type="dxa" w:w="3007"/>
            <w:tcMar>
              <w:top w:type="dxa" w:w="70"/>
              <w:left w:type="dxa" w:w="100"/>
              <w:bottom w:type="dxa" w:w="70"/>
              <w:right w:type="dxa" w:w="100"/>
            </w:tcMar>
            <w:vAlign w:val="center"/>
          </w:tcPr>
          <w:p>
            <w:pPr>
              <w:spacing w:after="0" w:line="240"/>
              <w:jc w:val="left"/>
            </w:pPr>
          </w:p>
        </w:tc>
        <w:tc>
          <w:tcPr>
            <w:tcW w:type="dxa" w:w="1804"/>
            <w:tcMar>
              <w:top w:type="dxa" w:w="70"/>
              <w:left w:type="dxa" w:w="100"/>
              <w:bottom w:type="dxa" w:w="70"/>
              <w:right w:type="dxa" w:w="100"/>
            </w:tcMar>
            <w:vAlign w:val="center"/>
          </w:tcPr>
          <w:p>
            <w:pPr>
              <w:spacing w:after="0" w:line="240"/>
              <w:jc w:val="left"/>
            </w:pPr>
          </w:p>
        </w:tc>
        <w:tc>
          <w:tcPr>
            <w:tcW w:type="dxa" w:w="2108"/>
            <w:tcMar>
              <w:top w:type="dxa" w:w="70"/>
              <w:left w:type="dxa" w:w="100"/>
              <w:bottom w:type="dxa" w:w="70"/>
              <w:right w:type="dxa" w:w="100"/>
            </w:tcMar>
            <w:vAlign w:val="center"/>
          </w:tcPr>
          <w:p>
            <w:pPr>
              <w:spacing w:after="0" w:line="240"/>
              <w:jc w:val="left"/>
            </w:pPr>
          </w:p>
        </w:tc>
      </w:tr>
      <w:tr>
        <w:trPr>
          <w:cantSplit/>
        </w:trPr>
        <w:tc>
          <w:tcPr>
            <w:tcW w:type="dxa" w:w="5112"/>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MOHRE or zone registered contract</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[PERIOD]</w:t>
            </w:r>
            <w:r>
              <w:rPr>
                <w:rFonts w:ascii="Calibri" w:cs="Calibri" w:eastAsia="Calibri" w:hAnsi="Calibri"/>
                <w:b/>
                <w:bCs/>
                <w:sz w:val="14"/>
                <w:szCs w:val="14"/>
              </w:rPr>
              <w:t xml:space="preserve"> after leaving</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Claims and audit</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Yes</w:t>
            </w:r>
          </w:p>
        </w:tc>
        <w:tc>
          <w:tcPr>
            <w:tcW w:type="dxa" w:w="2108"/>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[HR]</w:t>
            </w:r>
          </w:p>
        </w:tc>
      </w:tr>
      <w:tr>
        <w:trPr>
          <w:cantSplit/>
        </w:trPr>
        <w:tc>
          <w:tcPr>
            <w:tcW w:type="dxa" w:w="5112"/>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Personnel file — offer, appraisals, warnings</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[PERIOD]</w:t>
            </w:r>
            <w:r>
              <w:rPr>
                <w:rFonts w:ascii="Calibri" w:cs="Calibri" w:eastAsia="Calibri" w:hAnsi="Calibri"/>
                <w:sz w:val="14"/>
                <w:szCs w:val="14"/>
              </w:rPr>
              <w:t xml:space="preserve"> after leaving</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Claims</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Yes</w:t>
            </w:r>
          </w:p>
        </w:tc>
        <w:tc>
          <w:tcPr>
            <w:tcW w:type="dxa" w:w="2108"/>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[HR]</w:t>
            </w:r>
          </w:p>
        </w:tc>
      </w:tr>
      <w:tr>
        <w:trPr>
          <w:cantSplit/>
        </w:trPr>
        <w:tc>
          <w:tcPr>
            <w:tcW w:type="dxa" w:w="5112"/>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Payroll and WPS records</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7 years</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Tax and labour</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Yes</w:t>
            </w:r>
          </w:p>
        </w:tc>
        <w:tc>
          <w:tcPr>
            <w:tcW w:type="dxa" w:w="2108"/>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[Payroll]</w:t>
            </w:r>
          </w:p>
        </w:tc>
      </w:tr>
      <w:tr>
        <w:trPr>
          <w:cantSplit/>
        </w:trPr>
        <w:tc>
          <w:tcPr>
            <w:tcW w:type="dxa" w:w="5112"/>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Gratuity and end-of-service calculations</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[PERIOD]</w:t>
            </w:r>
            <w:r>
              <w:rPr>
                <w:rFonts w:ascii="Calibri" w:cs="Calibri" w:eastAsia="Calibri" w:hAnsi="Calibri"/>
                <w:sz w:val="14"/>
                <w:szCs w:val="14"/>
              </w:rPr>
              <w:t xml:space="preserve"> after leaving</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Disputes</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Yes</w:t>
            </w:r>
          </w:p>
        </w:tc>
        <w:tc>
          <w:tcPr>
            <w:tcW w:type="dxa" w:w="2108"/>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[Payroll]</w:t>
            </w:r>
          </w:p>
        </w:tc>
      </w:tr>
      <w:tr>
        <w:trPr>
          <w:cantSplit/>
        </w:trPr>
        <w:tc>
          <w:tcPr>
            <w:tcW w:type="dxa" w:w="5112"/>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[Scheme contribution records — DIFC/ADGM]</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[PERIOD]</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Arrears exposure</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Yes</w:t>
            </w:r>
          </w:p>
        </w:tc>
        <w:tc>
          <w:tcPr>
            <w:tcW w:type="dxa" w:w="2108"/>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[Payroll]</w:t>
            </w:r>
          </w:p>
        </w:tc>
      </w:tr>
      <w:tr>
        <w:trPr>
          <w:cantSplit/>
        </w:trPr>
        <w:tc>
          <w:tcPr>
            <w:tcW w:type="dxa" w:w="5112"/>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Leave and attendance records</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[PERIOD]</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Encashment disputes</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Yes</w:t>
            </w:r>
          </w:p>
        </w:tc>
        <w:tc>
          <w:tcPr>
            <w:tcW w:type="dxa" w:w="2108"/>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[HR]</w:t>
            </w:r>
          </w:p>
        </w:tc>
      </w:tr>
      <w:tr>
        <w:trPr>
          <w:cantSplit/>
        </w:trPr>
        <w:tc>
          <w:tcPr>
            <w:tcW w:type="dxa" w:w="5112"/>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Medical fitness and health insurance records</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[Shorter period]</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Sensitive — minimise</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Yes</w:t>
            </w:r>
          </w:p>
        </w:tc>
        <w:tc>
          <w:tcPr>
            <w:tcW w:type="dxa" w:w="2108"/>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[HR]</w:t>
            </w:r>
          </w:p>
        </w:tc>
      </w:tr>
      <w:tr>
        <w:trPr>
          <w:cantSplit/>
        </w:trPr>
        <w:tc>
          <w:tcPr>
            <w:tcW w:type="dxa" w:w="5112"/>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Work permit and visa records</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[PERIOD]</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Immigration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Yes</w:t>
            </w:r>
          </w:p>
        </w:tc>
        <w:tc>
          <w:tcPr>
            <w:tcW w:type="dxa" w:w="2108"/>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[HR]</w:t>
            </w:r>
          </w:p>
        </w:tc>
      </w:tr>
      <w:tr>
        <w:trPr>
          <w:cantSplit/>
        </w:trPr>
        <w:tc>
          <w:tcPr>
            <w:tcW w:type="dxa" w:w="5112"/>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Disciplinary and grievance records</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[PERIOD]</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Claims</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Yes</w:t>
            </w:r>
          </w:p>
        </w:tc>
        <w:tc>
          <w:tcPr>
            <w:tcW w:type="dxa" w:w="2108"/>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[HR]</w:t>
            </w:r>
          </w:p>
        </w:tc>
      </w:tr>
      <w:tr>
        <w:trPr>
          <w:cantSplit/>
        </w:trPr>
        <w:tc>
          <w:tcPr>
            <w:tcW w:type="dxa" w:w="5112"/>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Work injury reports and insurance claims</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[Longer period]</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Long-tail claims</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Yes</w:t>
            </w:r>
          </w:p>
        </w:tc>
        <w:tc>
          <w:tcPr>
            <w:tcW w:type="dxa" w:w="2108"/>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[HR]</w:t>
            </w:r>
          </w:p>
        </w:tc>
      </w:tr>
      <w:tr>
        <w:trPr>
          <w:cantSplit/>
        </w:trPr>
        <w:tc>
          <w:tcPr>
            <w:tcW w:type="dxa" w:w="5112"/>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Unsuccessful applicant records</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[Short period, then delete]</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No continuing purpose</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Yes</w:t>
            </w:r>
          </w:p>
        </w:tc>
        <w:tc>
          <w:tcPr>
            <w:tcW w:type="dxa" w:w="2108"/>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[HR]</w:t>
            </w:r>
          </w:p>
        </w:tc>
      </w:tr>
      <w:tr>
        <w:trPr>
          <w:cantSplit/>
        </w:trPr>
        <w:tc>
          <w:tcPr>
            <w:tcW w:type="dxa" w:w="5112"/>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COMPLIANCE AND OPERATIONS</w:t>
            </w:r>
          </w:p>
        </w:tc>
        <w:tc>
          <w:tcPr>
            <w:tcW w:type="dxa" w:w="3007"/>
            <w:tcMar>
              <w:top w:type="dxa" w:w="70"/>
              <w:left w:type="dxa" w:w="100"/>
              <w:bottom w:type="dxa" w:w="70"/>
              <w:right w:type="dxa" w:w="100"/>
            </w:tcMar>
            <w:vAlign w:val="center"/>
          </w:tcPr>
          <w:p>
            <w:pPr>
              <w:spacing w:after="0" w:line="240"/>
              <w:jc w:val="left"/>
            </w:pPr>
          </w:p>
        </w:tc>
        <w:tc>
          <w:tcPr>
            <w:tcW w:type="dxa" w:w="3007"/>
            <w:tcMar>
              <w:top w:type="dxa" w:w="70"/>
              <w:left w:type="dxa" w:w="100"/>
              <w:bottom w:type="dxa" w:w="70"/>
              <w:right w:type="dxa" w:w="100"/>
            </w:tcMar>
            <w:vAlign w:val="center"/>
          </w:tcPr>
          <w:p>
            <w:pPr>
              <w:spacing w:after="0" w:line="240"/>
              <w:jc w:val="left"/>
            </w:pPr>
          </w:p>
        </w:tc>
        <w:tc>
          <w:tcPr>
            <w:tcW w:type="dxa" w:w="1804"/>
            <w:tcMar>
              <w:top w:type="dxa" w:w="70"/>
              <w:left w:type="dxa" w:w="100"/>
              <w:bottom w:type="dxa" w:w="70"/>
              <w:right w:type="dxa" w:w="100"/>
            </w:tcMar>
            <w:vAlign w:val="center"/>
          </w:tcPr>
          <w:p>
            <w:pPr>
              <w:spacing w:after="0" w:line="240"/>
              <w:jc w:val="left"/>
            </w:pPr>
          </w:p>
        </w:tc>
        <w:tc>
          <w:tcPr>
            <w:tcW w:type="dxa" w:w="2108"/>
            <w:tcMar>
              <w:top w:type="dxa" w:w="70"/>
              <w:left w:type="dxa" w:w="100"/>
              <w:bottom w:type="dxa" w:w="70"/>
              <w:right w:type="dxa" w:w="100"/>
            </w:tcMar>
            <w:vAlign w:val="center"/>
          </w:tcPr>
          <w:p>
            <w:pPr>
              <w:spacing w:after="0" w:line="240"/>
              <w:jc w:val="left"/>
            </w:pPr>
          </w:p>
        </w:tc>
      </w:tr>
      <w:tr>
        <w:trPr>
          <w:cantSplit/>
        </w:trPr>
        <w:tc>
          <w:tcPr>
            <w:tcW w:type="dxa" w:w="5112"/>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Data protection records of processing</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Current + history</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Accountability</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Some</w:t>
            </w:r>
          </w:p>
        </w:tc>
        <w:tc>
          <w:tcPr>
            <w:tcW w:type="dxa" w:w="2108"/>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[DPO]</w:t>
            </w:r>
          </w:p>
        </w:tc>
      </w:tr>
      <w:tr>
        <w:trPr>
          <w:cantSplit/>
        </w:trPr>
        <w:tc>
          <w:tcPr>
            <w:tcW w:type="dxa" w:w="5112"/>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Breach register including non-notifiable incidents</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Permanently where practicable</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Demonstrates assessment</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Yes</w:t>
            </w:r>
          </w:p>
        </w:tc>
        <w:tc>
          <w:tcPr>
            <w:tcW w:type="dxa" w:w="2108"/>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[DPO]</w:t>
            </w:r>
          </w:p>
        </w:tc>
      </w:tr>
      <w:tr>
        <w:trPr>
          <w:cantSplit/>
        </w:trPr>
        <w:tc>
          <w:tcPr>
            <w:tcW w:type="dxa" w:w="5112"/>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Data subject request register</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[PERIOD]</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Accountability</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Yes</w:t>
            </w:r>
          </w:p>
        </w:tc>
        <w:tc>
          <w:tcPr>
            <w:tcW w:type="dxa" w:w="2108"/>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[DPO]</w:t>
            </w:r>
          </w:p>
        </w:tc>
      </w:tr>
      <w:tr>
        <w:trPr>
          <w:cantSplit/>
        </w:trPr>
        <w:tc>
          <w:tcPr>
            <w:tcW w:type="dxa" w:w="5112"/>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[AML records — DNFBPs]</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Statutory period after the relationship ends</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Statutory</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Yes</w:t>
            </w:r>
          </w:p>
        </w:tc>
        <w:tc>
          <w:tcPr>
            <w:tcW w:type="dxa" w:w="2108"/>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[Compliance]</w:t>
            </w:r>
          </w:p>
        </w:tc>
      </w:tr>
      <w:tr>
        <w:trPr>
          <w:cantSplit/>
        </w:trPr>
        <w:tc>
          <w:tcPr>
            <w:tcW w:type="dxa" w:w="5112"/>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Contracts — customer and supplier</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[Term + limitation period]</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Claims</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Some</w:t>
            </w:r>
          </w:p>
        </w:tc>
        <w:tc>
          <w:tcPr>
            <w:tcW w:type="dxa" w:w="2108"/>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[Legal]</w:t>
            </w:r>
          </w:p>
        </w:tc>
      </w:tr>
      <w:tr>
        <w:trPr>
          <w:cantSplit/>
        </w:trPr>
        <w:tc>
          <w:tcPr>
            <w:tcW w:type="dxa" w:w="5112"/>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Insurance policies</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Current + history</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Long-tail claims</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No</w:t>
            </w:r>
          </w:p>
        </w:tc>
        <w:tc>
          <w:tcPr>
            <w:tcW w:type="dxa" w:w="2108"/>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[Finance]</w:t>
            </w:r>
          </w:p>
        </w:tc>
      </w:tr>
      <w:tr>
        <w:trPr>
          <w:cantSplit/>
        </w:trPr>
        <w:tc>
          <w:tcPr>
            <w:tcW w:type="dxa" w:w="5112"/>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Litigation and settlement records</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Permanently</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Res judicata</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Yes</w:t>
            </w:r>
          </w:p>
        </w:tc>
        <w:tc>
          <w:tcPr>
            <w:tcW w:type="dxa" w:w="2108"/>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[Legal]</w:t>
            </w:r>
          </w:p>
        </w:tc>
      </w:tr>
      <w:tr>
        <w:trPr>
          <w:cantSplit/>
        </w:trPr>
        <w:tc>
          <w:tcPr>
            <w:tcW w:type="dxa" w:w="5112"/>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CCTV</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[Short period]</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Minimise</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Yes</w:t>
            </w:r>
          </w:p>
        </w:tc>
        <w:tc>
          <w:tcPr>
            <w:tcW w:type="dxa" w:w="2108"/>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[Admin]</w:t>
            </w:r>
          </w:p>
        </w:tc>
      </w:tr>
      <w:tr>
        <w:trPr>
          <w:cantSplit/>
        </w:trPr>
        <w:tc>
          <w:tcPr>
            <w:tcW w:type="dxa" w:w="5112"/>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Email and messaging</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[PERIOD]</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Business record</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Yes</w:t>
            </w:r>
          </w:p>
        </w:tc>
        <w:tc>
          <w:tcPr>
            <w:tcW w:type="dxa" w:w="2108"/>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[IT]</w:t>
            </w:r>
          </w:p>
        </w:tc>
      </w:tr>
      <w:tr>
        <w:trPr>
          <w:cantSplit/>
        </w:trPr>
        <w:tc>
          <w:tcPr>
            <w:tcW w:type="dxa" w:w="5112"/>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System and access logs</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[PERIOD]</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Security</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Yes</w:t>
            </w:r>
          </w:p>
        </w:tc>
        <w:tc>
          <w:tcPr>
            <w:tcW w:type="dxa" w:w="2108"/>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[IT]</w:t>
            </w:r>
          </w:p>
        </w:tc>
      </w:tr>
    </w:tbl>
    <w:p>
      <w:pPr>
        <w:sectPr>
          <w:footerReference w:type="default" r:id="rId11"/>
          <w:footerReference w:type="first" r:id="rId12"/>
          <w:pgSz w:w="16838" w:h="11906" w:orient="landscape"/>
          <w:pgMar w:top="900" w:right="900" w:bottom="900" w:left="900" w:header="708" w:footer="708" w:gutter="0"/>
          <w:pgNumType/>
          <w:titlePg w:val="false"/>
          <w:docGrid w:linePitch="360"/>
        </w:sectPr>
      </w:pPr>
    </w:p>
    <w:p>
      <w:pPr>
        <w:keepNext/>
        <w:spacing w:after="120" w:before="280"/>
        <w:outlineLvl w:val="0"/>
      </w:pPr>
      <w:r>
        <w:rPr>
          <w:rFonts w:ascii="Calibri" w:cs="Calibri" w:eastAsia="Calibri" w:hAnsi="Calibri"/>
          <w:b/>
          <w:bCs/>
          <w:color w:val="14161B"/>
          <w:sz w:val="22"/>
          <w:szCs w:val="22"/>
        </w:rPr>
        <w:t xml:space="preserve">3. DELETING</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3855"/>
        <w:gridCol w:w="5398"/>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38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Step</w:t>
            </w:r>
          </w:p>
        </w:tc>
        <w:tc>
          <w:tcPr>
            <w:tcW w:type="dxa" w:w="539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Run the deletion exercise </w:t>
            </w:r>
            <w:r>
              <w:rPr>
                <w:rFonts w:ascii="Calibri" w:cs="Calibri" w:eastAsia="Calibri" w:hAnsi="Calibri"/>
                <w:b/>
                <w:bCs/>
                <w:sz w:val="17"/>
                <w:szCs w:val="17"/>
              </w:rPr>
              <w:t xml:space="preserve">[annually]</w:t>
            </w:r>
          </w:p>
        </w:tc>
        <w:tc>
          <w:tcPr>
            <w:tcW w:type="dxa" w:w="53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 schedule nobody executes is not a control</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Check for a legal hold before deleting</w:t>
            </w:r>
          </w:p>
        </w:tc>
        <w:tc>
          <w:tcPr>
            <w:tcW w:type="dxa" w:w="53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Litigation, investigation, audit or a regulator query suspends deletion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Delete or anonymise — both are acceptable</w:t>
            </w:r>
          </w:p>
        </w:tc>
        <w:tc>
          <w:tcPr>
            <w:tcW w:type="dxa" w:w="53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Anonymised data falls outside the regime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Include backups in the plan</w:t>
            </w:r>
          </w:p>
        </w:tc>
        <w:tc>
          <w:tcPr>
            <w:tcW w:type="dxa" w:w="53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Backups cannot be selectively purged; rely on rotation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Delete from secondary systems too</w:t>
            </w:r>
          </w:p>
        </w:tc>
        <w:tc>
          <w:tcPr>
            <w:tcW w:type="dxa" w:w="53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Exports, spreadsheets, shared drives, personal folders</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Ask processors to delete on the same basis</w:t>
            </w:r>
          </w:p>
        </w:tc>
        <w:tc>
          <w:tcPr>
            <w:tcW w:type="dxa" w:w="53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Their retention is your responsibility</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Record what was deleted and when</w:t>
            </w:r>
          </w:p>
        </w:tc>
        <w:tc>
          <w:tcPr>
            <w:tcW w:type="dxa" w:w="53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Evidence the schedule is operated</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Dispose of physical records securely</w:t>
            </w:r>
          </w:p>
        </w:tc>
        <w:tc>
          <w:tcPr>
            <w:tcW w:type="dxa" w:w="53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Shredding or certified destruction</w:t>
            </w:r>
          </w:p>
        </w:tc>
      </w:tr>
    </w:tbl>
    <w:p>
      <w:pPr>
        <w:spacing w:after="140"/>
      </w:pP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b/>
          <w:bCs/>
          <w:sz w:val="21"/>
          <w:szCs w:val="21"/>
        </w:rPr>
        <w:t xml:space="preserve">A legal hold overrides the schedule.</w:t>
      </w:r>
      <w:r>
        <w:rPr>
          <w:rFonts w:ascii="Calibri" w:cs="Calibri" w:eastAsia="Calibri" w:hAnsi="Calibri"/>
          <w:sz w:val="21"/>
          <w:szCs w:val="21"/>
        </w:rPr>
        <w:t xml:space="preserve"> Where litigation, an investigation or a regulator query is live or reasonably anticipated, suspend deletion for the affected records and record that you have done so.</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i/>
          <w:iCs/>
          <w:sz w:val="21"/>
          <w:szCs w:val="21"/>
        </w:rPr>
        <w:t xml:space="preserve">Backups are the honest problem. They cannot be selectively purged, so a deletion policy must acknowledge that data persists in backup for the rotation period and remains subject to the same protections while it does.</w:t>
      </w:r>
    </w:p>
    <w:p>
      <w:pPr>
        <w:keepNext/>
        <w:spacing w:after="120" w:before="280"/>
        <w:outlineLvl w:val="0"/>
      </w:pPr>
      <w:r>
        <w:rPr>
          <w:rFonts w:ascii="Calibri" w:cs="Calibri" w:eastAsia="Calibri" w:hAnsi="Calibri"/>
          <w:b/>
          <w:bCs/>
          <w:color w:val="14161B"/>
          <w:sz w:val="22"/>
          <w:szCs w:val="22"/>
        </w:rPr>
        <w:t xml:space="preserve">4. WHERE RECORDS ACTUALLY LIVE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5975"/>
        <w:gridCol w:w="3182"/>
      </w:tblGrid>
      <w:tr>
        <w:trPr>
          <w:cantSplit/>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597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Location</w:t>
            </w:r>
          </w:p>
        </w:tc>
        <w:tc>
          <w:tcPr>
            <w:tcW w:type="dxa" w:w="318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Covered by the schedule?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HR or finance system</w:t>
            </w:r>
          </w:p>
        </w:tc>
        <w:tc>
          <w:tcPr>
            <w:tcW w:type="dxa" w:w="318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Shared drives and folders</w:t>
            </w:r>
          </w:p>
        </w:tc>
        <w:tc>
          <w:tcPr>
            <w:tcW w:type="dxa" w:w="318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Email mailboxes, including leavers’</w:t>
            </w:r>
          </w:p>
        </w:tc>
        <w:tc>
          <w:tcPr>
            <w:tcW w:type="dxa" w:w="318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Messaging platforms</w:t>
            </w:r>
          </w:p>
        </w:tc>
        <w:tc>
          <w:tcPr>
            <w:tcW w:type="dxa" w:w="318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Exports and spreadsheets on individual machines</w:t>
            </w:r>
          </w:p>
        </w:tc>
        <w:tc>
          <w:tcPr>
            <w:tcW w:type="dxa" w:w="318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Cloud storage, including personal accounts used for work</w:t>
            </w:r>
          </w:p>
        </w:tc>
        <w:tc>
          <w:tcPr>
            <w:tcW w:type="dxa" w:w="318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7</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Third party processors</w:t>
            </w:r>
          </w:p>
        </w:tc>
        <w:tc>
          <w:tcPr>
            <w:tcW w:type="dxa" w:w="318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8</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Physical files and archive boxes</w:t>
            </w:r>
          </w:p>
        </w:tc>
        <w:tc>
          <w:tcPr>
            <w:tcW w:type="dxa" w:w="318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9</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Backups</w:t>
            </w:r>
          </w:p>
        </w:tc>
        <w:tc>
          <w:tcPr>
            <w:tcW w:type="dxa" w:w="318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10</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Devices held by former employees</w:t>
            </w:r>
          </w:p>
        </w:tc>
        <w:tc>
          <w:tcPr>
            <w:tcW w:type="dxa" w:w="318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bl>
    <w:p>
      <w:pPr>
        <w:spacing w:after="140"/>
      </w:pP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i/>
          <w:iCs/>
          <w:sz w:val="21"/>
          <w:szCs w:val="21"/>
        </w:rPr>
        <w:t xml:space="preserve">Rows 3, 5 and 10 are where retention policies quietly fail. A leaver’s mailbox kept indefinitely, a payroll export on a laptop, and Company data on a personal device after departure all sit outside whatever the system does.</w:t>
      </w:r>
    </w:p>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Seven years runs from the end of the tax period</w:t>
      </w:r>
    </w:p>
    <w:p>
      <w:pPr>
        <w:spacing w:after="60" w:line="264"/>
        <w:jc w:val="both"/>
      </w:pPr>
      <w:r>
        <w:rPr>
          <w:rFonts w:ascii="Calibri" w:cs="Calibri" w:eastAsia="Calibri" w:hAnsi="Calibri"/>
          <w:sz w:val="19"/>
          <w:szCs w:val="19"/>
        </w:rPr>
        <w:t xml:space="preserve">Not from the transaction date and not from the filing date. An invoice raised early in a financial year is effectively retained for close to eight years. Build the rule into the schedule rather than recalculating per document.</w:t>
      </w:r>
    </w:p>
    <w:p>
      <w:pPr>
        <w:keepNext/>
        <w:spacing w:after="40" w:before="140"/>
      </w:pPr>
      <w:r>
        <w:rPr>
          <w:rFonts w:ascii="Calibri" w:cs="Calibri" w:eastAsia="Calibri" w:hAnsi="Calibri"/>
          <w:b/>
          <w:bCs/>
          <w:color w:val="14161B"/>
          <w:sz w:val="20"/>
          <w:szCs w:val="20"/>
        </w:rPr>
        <w:t xml:space="preserve">Keeping everything is not a policy</w:t>
      </w:r>
    </w:p>
    <w:p>
      <w:pPr>
        <w:spacing w:after="60" w:line="264"/>
        <w:jc w:val="both"/>
      </w:pPr>
      <w:r>
        <w:rPr>
          <w:rFonts w:ascii="Calibri" w:cs="Calibri" w:eastAsia="Calibri" w:hAnsi="Calibri"/>
          <w:sz w:val="19"/>
          <w:szCs w:val="19"/>
        </w:rPr>
        <w:t xml:space="preserve">It fails the storage limitation obligation, makes subject access requests expensive to answer, and means a breach exposes a decade of personal data rather than a year. The schedule exists to make deletion deliberate.</w:t>
      </w:r>
    </w:p>
    <w:p>
      <w:pPr>
        <w:keepNext/>
        <w:spacing w:after="40" w:before="140"/>
      </w:pPr>
      <w:r>
        <w:rPr>
          <w:rFonts w:ascii="Calibri" w:cs="Calibri" w:eastAsia="Calibri" w:hAnsi="Calibri"/>
          <w:b/>
          <w:bCs/>
          <w:color w:val="14161B"/>
          <w:sz w:val="20"/>
          <w:szCs w:val="20"/>
        </w:rPr>
        <w:t xml:space="preserve">Minimise health data specifically</w:t>
      </w:r>
    </w:p>
    <w:p>
      <w:pPr>
        <w:spacing w:after="60" w:line="264"/>
        <w:jc w:val="both"/>
      </w:pPr>
      <w:r>
        <w:rPr>
          <w:rFonts w:ascii="Calibri" w:cs="Calibri" w:eastAsia="Calibri" w:hAnsi="Calibri"/>
          <w:sz w:val="19"/>
          <w:szCs w:val="19"/>
        </w:rPr>
        <w:t xml:space="preserve">Medical fitness results, insurance claims and sick leave certificates are sensitive category data held on every employee. Retain for a shorter period than the general personnel file, restrict access tightly, and delete on schedule.</w:t>
      </w:r>
    </w:p>
    <w:p>
      <w:pPr>
        <w:keepNext/>
        <w:spacing w:after="40" w:before="140"/>
      </w:pPr>
      <w:r>
        <w:rPr>
          <w:rFonts w:ascii="Calibri" w:cs="Calibri" w:eastAsia="Calibri" w:hAnsi="Calibri"/>
          <w:b/>
          <w:bCs/>
          <w:color w:val="14161B"/>
          <w:sz w:val="20"/>
          <w:szCs w:val="20"/>
        </w:rPr>
        <w:t xml:space="preserve">Delete unsuccessful applicant records early</w:t>
      </w:r>
    </w:p>
    <w:p>
      <w:pPr>
        <w:spacing w:after="60" w:line="264"/>
        <w:jc w:val="both"/>
      </w:pPr>
      <w:r>
        <w:rPr>
          <w:rFonts w:ascii="Calibri" w:cs="Calibri" w:eastAsia="Calibri" w:hAnsi="Calibri"/>
          <w:sz w:val="19"/>
          <w:szCs w:val="19"/>
        </w:rPr>
        <w:t xml:space="preserve">CVs, references and interview notes have no continuing purpose once the role is filled. Retaining them for years expands the data you must protect for no benefit and is among the easiest deletions to actually execute.</w:t>
      </w:r>
    </w:p>
    <w:p>
      <w:pPr>
        <w:keepNext/>
        <w:spacing w:after="40" w:before="140"/>
      </w:pPr>
      <w:r>
        <w:rPr>
          <w:rFonts w:ascii="Calibri" w:cs="Calibri" w:eastAsia="Calibri" w:hAnsi="Calibri"/>
          <w:b/>
          <w:bCs/>
          <w:color w:val="14161B"/>
          <w:sz w:val="20"/>
          <w:szCs w:val="20"/>
        </w:rPr>
        <w:t xml:space="preserve">A legal hold overrides the schedule</w:t>
      </w:r>
    </w:p>
    <w:p>
      <w:pPr>
        <w:spacing w:after="60" w:line="264"/>
        <w:jc w:val="both"/>
      </w:pPr>
      <w:r>
        <w:rPr>
          <w:rFonts w:ascii="Calibri" w:cs="Calibri" w:eastAsia="Calibri" w:hAnsi="Calibri"/>
          <w:sz w:val="19"/>
          <w:szCs w:val="19"/>
        </w:rPr>
        <w:t xml:space="preserve">Where litigation, an investigation, an audit or a regulator query is live or reasonably anticipated, suspend deletion for the affected records and record the decision. Deleting into a live dispute is a serious problem.</w:t>
      </w:r>
    </w:p>
    <w:p>
      <w:pPr>
        <w:keepNext/>
        <w:spacing w:after="40" w:before="140"/>
      </w:pPr>
      <w:r>
        <w:rPr>
          <w:rFonts w:ascii="Calibri" w:cs="Calibri" w:eastAsia="Calibri" w:hAnsi="Calibri"/>
          <w:b/>
          <w:bCs/>
          <w:color w:val="14161B"/>
          <w:sz w:val="20"/>
          <w:szCs w:val="20"/>
        </w:rPr>
        <w:t xml:space="preserve">Be honest about backups</w:t>
      </w:r>
    </w:p>
    <w:p>
      <w:pPr>
        <w:spacing w:after="60" w:line="264"/>
        <w:jc w:val="both"/>
      </w:pPr>
      <w:r>
        <w:rPr>
          <w:rFonts w:ascii="Calibri" w:cs="Calibri" w:eastAsia="Calibri" w:hAnsi="Calibri"/>
          <w:sz w:val="19"/>
          <w:szCs w:val="19"/>
        </w:rPr>
        <w:t xml:space="preserve">Backups cannot be selectively purged, so data persists for the rotation period after deletion from live systems. The policy should say so and confirm the data remains protected while it does. A deletion clause ignoring backups is breached the day it is written.</w:t>
      </w:r>
    </w:p>
    <w:p>
      <w:pPr>
        <w:keepNext/>
        <w:spacing w:after="40" w:before="140"/>
      </w:pPr>
      <w:r>
        <w:rPr>
          <w:rFonts w:ascii="Calibri" w:cs="Calibri" w:eastAsia="Calibri" w:hAnsi="Calibri"/>
          <w:b/>
          <w:bCs/>
          <w:color w:val="14161B"/>
          <w:sz w:val="20"/>
          <w:szCs w:val="20"/>
        </w:rPr>
        <w:t xml:space="preserve">Corporate records are permanent</w:t>
      </w:r>
    </w:p>
    <w:p>
      <w:pPr>
        <w:spacing w:after="60" w:line="264"/>
        <w:jc w:val="both"/>
      </w:pPr>
      <w:r>
        <w:rPr>
          <w:rFonts w:ascii="Calibri" w:cs="Calibri" w:eastAsia="Calibri" w:hAnsi="Calibri"/>
          <w:sz w:val="19"/>
          <w:szCs w:val="19"/>
        </w:rPr>
        <w:t xml:space="preserve">The notarised MOA and every amendment, resolutions, share transfers and approvals are requested at every financing, sale and bank review. Companies reconstruct these painfully and incompletely years later, and gaps in the amendment chain are genuinely hard to remedy.</w:t>
      </w:r>
    </w:p>
    <w:p>
      <w:pPr>
        <w:keepNext/>
        <w:spacing w:after="40" w:before="140"/>
      </w:pPr>
      <w:r>
        <w:rPr>
          <w:rFonts w:ascii="Calibri" w:cs="Calibri" w:eastAsia="Calibri" w:hAnsi="Calibri"/>
          <w:b/>
          <w:bCs/>
          <w:color w:val="14161B"/>
          <w:sz w:val="20"/>
          <w:szCs w:val="20"/>
        </w:rPr>
        <w:t xml:space="preserve">Track cheques until they are returned</w:t>
      </w:r>
    </w:p>
    <w:p>
      <w:pPr>
        <w:spacing w:after="60" w:line="264"/>
        <w:jc w:val="both"/>
      </w:pPr>
      <w:r>
        <w:rPr>
          <w:rFonts w:ascii="Calibri" w:cs="Calibri" w:eastAsia="Calibri" w:hAnsi="Calibri"/>
          <w:sz w:val="19"/>
          <w:szCs w:val="19"/>
        </w:rPr>
        <w:t xml:space="preserve">A post-dated or security cheque is a live liability until recovered, regardless of how old the underlying transaction is. Retain the log until every cheque is back and confirmed, then for a further period.</w:t>
      </w:r>
    </w:p>
    <w:p>
      <w:pPr>
        <w:keepNext/>
        <w:spacing w:after="40" w:before="140"/>
      </w:pPr>
      <w:r>
        <w:rPr>
          <w:rFonts w:ascii="Calibri" w:cs="Calibri" w:eastAsia="Calibri" w:hAnsi="Calibri"/>
          <w:b/>
          <w:bCs/>
          <w:color w:val="14161B"/>
          <w:sz w:val="20"/>
          <w:szCs w:val="20"/>
        </w:rPr>
        <w:t xml:space="preserve">Keep QFZP evidence for the full period</w:t>
      </w:r>
    </w:p>
    <w:p>
      <w:pPr>
        <w:spacing w:after="60" w:line="264"/>
        <w:jc w:val="both"/>
      </w:pPr>
      <w:r>
        <w:rPr>
          <w:rFonts w:ascii="Calibri" w:cs="Calibri" w:eastAsia="Calibri" w:hAnsi="Calibri"/>
          <w:sz w:val="19"/>
          <w:szCs w:val="19"/>
        </w:rPr>
        <w:t xml:space="preserve">Qualifying income analysis, de minimis workings and substance evidence support a position that may be examined years later. This is the material most likely to be discarded as working papers and most needed if the claim is tested.</w:t>
      </w:r>
    </w:p>
    <w:p>
      <w:pPr>
        <w:keepNext/>
        <w:spacing w:after="40" w:before="140"/>
      </w:pPr>
      <w:r>
        <w:rPr>
          <w:rFonts w:ascii="Calibri" w:cs="Calibri" w:eastAsia="Calibri" w:hAnsi="Calibri"/>
          <w:b/>
          <w:bCs/>
          <w:color w:val="14161B"/>
          <w:sz w:val="20"/>
          <w:szCs w:val="20"/>
        </w:rPr>
        <w:t xml:space="preserve">Retain the breach register including non-notifiable incidents</w:t>
      </w:r>
    </w:p>
    <w:p>
      <w:pPr>
        <w:spacing w:after="60" w:line="264"/>
        <w:jc w:val="both"/>
      </w:pPr>
      <w:r>
        <w:rPr>
          <w:rFonts w:ascii="Calibri" w:cs="Calibri" w:eastAsia="Calibri" w:hAnsi="Calibri"/>
          <w:sz w:val="19"/>
          <w:szCs w:val="19"/>
        </w:rPr>
        <w:t xml:space="preserve">The record of incidents assessed and determined not notifiable is what demonstrates the assessments were actually made. Organisations log notified breaches and keep nothing about the rest.</w:t>
      </w:r>
    </w:p>
    <w:p>
      <w:pPr>
        <w:keepNext/>
        <w:spacing w:after="40" w:before="140"/>
      </w:pPr>
      <w:r>
        <w:rPr>
          <w:rFonts w:ascii="Calibri" w:cs="Calibri" w:eastAsia="Calibri" w:hAnsi="Calibri"/>
          <w:b/>
          <w:bCs/>
          <w:color w:val="14161B"/>
          <w:sz w:val="20"/>
          <w:szCs w:val="20"/>
        </w:rPr>
        <w:t xml:space="preserve">Your processors’ retention is your responsibility</w:t>
      </w:r>
    </w:p>
    <w:p>
      <w:pPr>
        <w:spacing w:after="60" w:line="264"/>
        <w:jc w:val="both"/>
      </w:pPr>
      <w:r>
        <w:rPr>
          <w:rFonts w:ascii="Calibri" w:cs="Calibri" w:eastAsia="Calibri" w:hAnsi="Calibri"/>
          <w:sz w:val="19"/>
          <w:szCs w:val="19"/>
        </w:rPr>
        <w:t xml:space="preserve">Payroll bureaux, HR platforms and cloud providers hold your data on your instructions. Deletion instructions must reach them on the same schedule, and the processing agreement should require it.</w:t>
      </w:r>
    </w:p>
    <w:p>
      <w:pPr>
        <w:keepNext/>
        <w:spacing w:after="40" w:before="140"/>
      </w:pPr>
      <w:r>
        <w:rPr>
          <w:rFonts w:ascii="Calibri" w:cs="Calibri" w:eastAsia="Calibri" w:hAnsi="Calibri"/>
          <w:b/>
          <w:bCs/>
          <w:color w:val="14161B"/>
          <w:sz w:val="20"/>
          <w:szCs w:val="20"/>
        </w:rPr>
        <w:t xml:space="preserve">Leavers’ mailboxes are the common failure</w:t>
      </w:r>
    </w:p>
    <w:p>
      <w:pPr>
        <w:spacing w:after="60" w:line="264"/>
        <w:jc w:val="both"/>
      </w:pPr>
      <w:r>
        <w:rPr>
          <w:rFonts w:ascii="Calibri" w:cs="Calibri" w:eastAsia="Calibri" w:hAnsi="Calibri"/>
          <w:sz w:val="19"/>
          <w:szCs w:val="19"/>
        </w:rPr>
        <w:t xml:space="preserve">Kept indefinitely "just in case", they contain years of personal data about the leaver and everyone they corresponded with. Set a period, extract what is genuinely needed as a business record, and delete the rest.</w:t>
      </w:r>
    </w:p>
    <w:p>
      <w:pPr>
        <w:keepNext/>
        <w:spacing w:after="40" w:before="140"/>
      </w:pPr>
      <w:r>
        <w:rPr>
          <w:rFonts w:ascii="Calibri" w:cs="Calibri" w:eastAsia="Calibri" w:hAnsi="Calibri"/>
          <w:b/>
          <w:bCs/>
          <w:color w:val="14161B"/>
          <w:sz w:val="20"/>
          <w:szCs w:val="20"/>
        </w:rPr>
        <w:t xml:space="preserve">Look beyond the main systems</w:t>
      </w:r>
    </w:p>
    <w:p>
      <w:pPr>
        <w:spacing w:after="60" w:line="264"/>
        <w:jc w:val="both"/>
      </w:pPr>
      <w:r>
        <w:rPr>
          <w:rFonts w:ascii="Calibri" w:cs="Calibri" w:eastAsia="Calibri" w:hAnsi="Calibri"/>
          <w:sz w:val="19"/>
          <w:szCs w:val="19"/>
        </w:rPr>
        <w:t xml:space="preserve">Exports on individual laptops, spreadsheets on shared drives, data in personal cloud accounts and devices held by former employees all sit outside whatever the HR system does. Section 4 exists because that is where retention policies quietly fail.</w:t>
      </w:r>
    </w:p>
    <w:p>
      <w:pPr>
        <w:keepNext/>
        <w:spacing w:after="40" w:before="140"/>
      </w:pPr>
      <w:r>
        <w:rPr>
          <w:rFonts w:ascii="Calibri" w:cs="Calibri" w:eastAsia="Calibri" w:hAnsi="Calibri"/>
          <w:b/>
          <w:bCs/>
          <w:color w:val="14161B"/>
          <w:sz w:val="20"/>
          <w:szCs w:val="20"/>
        </w:rPr>
        <w:t xml:space="preserve">Record what you deleted</w:t>
      </w:r>
    </w:p>
    <w:p>
      <w:pPr>
        <w:spacing w:after="60" w:line="264"/>
        <w:jc w:val="both"/>
      </w:pPr>
      <w:r>
        <w:rPr>
          <w:rFonts w:ascii="Calibri" w:cs="Calibri" w:eastAsia="Calibri" w:hAnsi="Calibri"/>
          <w:sz w:val="19"/>
          <w:szCs w:val="19"/>
        </w:rPr>
        <w:t xml:space="preserve">Evidence that the schedule is operated is as important as the schedule itself. A log of deletion runs, what they covered and who authorised them is what demonstrates the obligation is met.</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UAE requirements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Tax retention periods, employment record requirements, AML retention for designated businesses and data protection storage limitation rules all change, and DIFC and ADGM apply their own regimes — confirm periods with the Federal Tax Authority, MOHRE and the relevant data protection regulator before finalising this schedule.</w:t>
      </w:r>
    </w:p>
    <w:sectPr>
      <w:footerReference w:type="default" r:id="rId13"/>
      <w:footerReference w:type="first" r:id="rId14"/>
      <w:pgSz w:w="11906" w:h="16838" w:orient="portrait"/>
      <w:pgMar w:top="1080" w:right="1134" w:bottom="1080" w:left="1134" w:header="708" w:footer="708" w:gutter="0"/>
      <w:pgNumType/>
      <w:titlePg w:val="fals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150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150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footer" Target="footer4.xml"/><Relationship Id="rId13" Type="http://schemas.openxmlformats.org/officeDocument/2006/relationships/footer" Target="footer5.xml"/><Relationship Id="rId14" Type="http://schemas.openxmlformats.org/officeDocument/2006/relationships/footer" Target="footer6.xml"/><Relationship Id="rId15"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er4.xml.rels><?xml version="1.0" encoding="UTF-8"?><Relationships xmlns="http://schemas.openxmlformats.org/package/2006/relationships"/>
</file>

<file path=word/_rels/footer5.xml.rels><?xml version="1.0" encoding="UTF-8"?><Relationships xmlns="http://schemas.openxmlformats.org/package/2006/relationships"/>
</file>

<file path=word/_rels/footer6.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2026-08-23T16:28:32.554Z</dcterms:created>
  <dcterms:modified xsi:type="dcterms:W3CDTF">2026-08-23T16:28:32.554Z</dcterms:modified>
</cp:coreProperties>
</file>

<file path=docProps/custom.xml><?xml version="1.0" encoding="utf-8"?>
<Properties xmlns="http://schemas.openxmlformats.org/officeDocument/2006/custom-properties" xmlns:vt="http://schemas.openxmlformats.org/officeDocument/2006/docPropsVTypes"/>
</file>