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RAISING INVESTMENT</w:t>
      </w:r>
    </w:p>
    <w:p>
      <w:pPr>
        <w:spacing w:after="260"/>
        <w:jc w:val="center"/>
      </w:pPr>
      <w:r>
        <w:rPr>
          <w:rFonts w:ascii="Calibri" w:cs="Calibri" w:eastAsia="Calibri" w:hAnsi="Calibri"/>
          <w:i/>
          <w:iCs/>
          <w:color w:val="6E7480"/>
          <w:sz w:val="19"/>
          <w:szCs w:val="19"/>
        </w:rPr>
        <w:t xml:space="preserve">Term sheet, subscription and closing in the UAE</w:t>
      </w:r>
    </w:p>
    <w:p>
      <w:pPr>
        <w:spacing w:after="180" w:before="0" w:line="276"/>
        <w:jc w:val="both"/>
      </w:pPr>
      <w:r>
        <w:rPr>
          <w:rFonts w:ascii="Calibri" w:cs="Calibri" w:eastAsia="Calibri" w:hAnsi="Calibri"/>
          <w:i/>
          <w:iCs/>
          <w:color w:val="6E7480"/>
          <w:sz w:val="21"/>
          <w:szCs w:val="21"/>
        </w:rPr>
        <w:t xml:space="preserve">The UAE has </w:t>
      </w:r>
      <w:r>
        <w:rPr>
          <w:rFonts w:ascii="Calibri" w:cs="Calibri" w:eastAsia="Calibri" w:hAnsi="Calibri"/>
          <w:b/>
          <w:bCs/>
          <w:i/>
          <w:iCs/>
          <w:color w:val="6E7480"/>
          <w:sz w:val="21"/>
          <w:szCs w:val="21"/>
        </w:rPr>
        <w:t xml:space="preserve">no exchange control</w:t>
      </w:r>
      <w:r>
        <w:rPr>
          <w:rFonts w:ascii="Calibri" w:cs="Calibri" w:eastAsia="Calibri" w:hAnsi="Calibri"/>
          <w:i/>
          <w:iCs/>
          <w:color w:val="6E7480"/>
          <w:sz w:val="21"/>
          <w:szCs w:val="21"/>
        </w:rPr>
        <w:t xml:space="preserve">, no pricing guidelines and no filings on foreign investment. What it has instead is a </w:t>
      </w:r>
      <w:r>
        <w:rPr>
          <w:rFonts w:ascii="Calibri" w:cs="Calibri" w:eastAsia="Calibri" w:hAnsi="Calibri"/>
          <w:b/>
          <w:bCs/>
          <w:i/>
          <w:iCs/>
          <w:color w:val="6E7480"/>
          <w:sz w:val="21"/>
          <w:szCs w:val="21"/>
        </w:rPr>
        <w:t xml:space="preserve">structural constraint</w:t>
      </w:r>
      <w:r>
        <w:rPr>
          <w:rFonts w:ascii="Calibri" w:cs="Calibri" w:eastAsia="Calibri" w:hAnsi="Calibri"/>
          <w:i/>
          <w:iCs/>
          <w:color w:val="6E7480"/>
          <w:sz w:val="21"/>
          <w:szCs w:val="21"/>
        </w:rPr>
        <w:t xml:space="preserve">: mainland share mechanics are slow and notarised, so the investment layer usually sits at an ADGM, DIFC or offshore holding company. Get that right before the term sheet, not after.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Investment 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 / Offshore holdco]</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Operating entity, if different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AND JURISDICTION]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Lead investor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Round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[Seed / Series A]</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Pre-money valuation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 pool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post-closing, </w:t>
            </w:r>
            <w:r>
              <w:rPr>
                <w:rFonts w:ascii="Calibri" w:cs="Calibri" w:eastAsia="Calibri" w:hAnsi="Calibri"/>
                <w:b/>
                <w:bCs/>
                <w:sz w:val="19"/>
                <w:szCs w:val="19"/>
              </w:rPr>
              <w:t xml:space="preserve">[in the pre-money / post-money]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stake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fully diluted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Exclusivity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[45]</w:t>
            </w:r>
            <w:r>
              <w:rPr>
                <w:rFonts w:ascii="Calibri" w:cs="Calibri" w:eastAsia="Calibri" w:hAnsi="Calibri"/>
                <w:sz w:val="19"/>
                <w:szCs w:val="19"/>
              </w:rPr>
              <w:t xml:space="preserve"> days — binding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closing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Binding?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except exclusivity, confidentiality and costs</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734"/>
        <w:gridCol w:w="5013"/>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If…</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will the investor take shares?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LLC</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Reconsider.</w:t>
            </w:r>
            <w:r>
              <w:rPr>
                <w:rFonts w:ascii="Calibri" w:cs="Calibri" w:eastAsia="Calibri" w:hAnsi="Calibri"/>
                <w:sz w:val="17"/>
                <w:szCs w:val="17"/>
              </w:rPr>
              <w:t xml:space="preserve"> Notarised transfers, DED approval, constrained classes, awkward option schemes</w:t>
            </w:r>
          </w:p>
        </w:tc>
      </w:tr>
      <w:tr>
        <w:trPr>
          <w:cantSplit/>
        </w:trPr>
        <w:tc>
          <w:tcPr>
            <w:tcW w:type="dxa" w:w="2891"/>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ADGM or DIFC</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Workable — common law, familiar share structures, predictable courts</w:t>
            </w:r>
          </w:p>
        </w:tc>
      </w:tr>
      <w:tr>
        <w:trPr>
          <w:cantSplit/>
        </w:trPr>
        <w:tc>
          <w:tcPr>
            <w:tcW w:type="dxa" w:w="2891"/>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Offshore holdco</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 adds a layer but solves the mechanics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operating business need a mainland licence?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Hold the mainland entity beneath the investment entity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there be an employee option pool?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needs an entity that can actually operate one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investor a fund with its own requirements?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They will usually require a common-law holdco</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an existing mainland entity with the trading history?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Restructuring before the round is easier than after</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Redomiciliation between the mainland and free zones is now possible under the amended Commercial Companies Law, which makes an early structural error less permanent than it was. It remains a process with approvals, not a switch.</w:t>
      </w:r>
    </w:p>
    <w:p>
      <w:pPr>
        <w:keepNext/>
        <w:spacing w:after="120" w:before="280"/>
        <w:outlineLvl w:val="0"/>
      </w:pPr>
      <w:r>
        <w:rPr>
          <w:rFonts w:ascii="Calibri" w:cs="Calibri" w:eastAsia="Calibri" w:hAnsi="Calibri"/>
          <w:b/>
          <w:bCs/>
          <w:color w:val="14161B"/>
          <w:sz w:val="22"/>
          <w:szCs w:val="22"/>
        </w:rPr>
        <w:t xml:space="preserve">2. TERM SHEET — STATUS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 term sheet records the principal terms. </w:t>
      </w:r>
      <w:r>
        <w:rPr>
          <w:rFonts w:ascii="Calibri" w:cs="Calibri" w:eastAsia="Calibri" w:hAnsi="Calibri"/>
          <w:b/>
          <w:bCs/>
          <w:sz w:val="21"/>
          <w:szCs w:val="21"/>
        </w:rPr>
        <w:t xml:space="preserve">It is not binding</w:t>
      </w:r>
      <w:r>
        <w:rPr>
          <w:rFonts w:ascii="Calibri" w:cs="Calibri" w:eastAsia="Calibri" w:hAnsi="Calibri"/>
          <w:sz w:val="21"/>
          <w:szCs w:val="21"/>
        </w:rPr>
        <w:t xml:space="preserve">, save for exclusivity, confidentiality and costs, which are.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Neither party is obliged to proceed, and either may withdraw before definitive documents are signed.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Say this expressly. A detailed term sheet without a clear non-binding statement invites an argument that a contract was formed, particularly where the parties then behave as though bound.</w:t>
      </w:r>
    </w:p>
    <w:p>
      <w:pPr>
        <w:keepNext/>
        <w:spacing w:after="120" w:before="280"/>
        <w:outlineLvl w:val="0"/>
      </w:pPr>
      <w:r>
        <w:rPr>
          <w:rFonts w:ascii="Calibri" w:cs="Calibri" w:eastAsia="Calibri" w:hAnsi="Calibri"/>
          <w:b/>
          <w:bCs/>
          <w:color w:val="14161B"/>
          <w:sz w:val="22"/>
          <w:szCs w:val="22"/>
        </w:rPr>
        <w:t xml:space="preserve">3. ECONOMICS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505"/>
        <w:gridCol w:w="4820"/>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means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Investment 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[CURRENCY]</w:t>
            </w:r>
            <w:r>
              <w:rPr>
                <w:rFonts w:ascii="Calibri" w:cs="Calibri" w:eastAsia="Calibri" w:hAnsi="Calibri"/>
                <w:sz w:val="17"/>
                <w:szCs w:val="17"/>
              </w:rPr>
              <w:t xml:space="preserve"> </w:t>
            </w: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new money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Pre-money valuation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Agreed value before the investment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 pool treatment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 the pre-money]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the pool sits inside the pre-money, founders bear the entire dilution and the investor’s percentage is unaffected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Post-money valuation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Pre-money plus investment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Price per share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Post-money divided by fully diluted shares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 holding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[PERCENTAGE]</w:t>
            </w:r>
            <w:r>
              <w:rPr>
                <w:rFonts w:ascii="Calibri" w:cs="Calibri" w:eastAsia="Calibri" w:hAnsi="Calibri"/>
                <w:sz w:val="17"/>
                <w:szCs w:val="17"/>
              </w:rPr>
              <w:t xml:space="preserve"> fully diluted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Including the pool and all convertibles as converted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[Tranching]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[Second tranche on ______]</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Milestones must be objectively measurable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The option pool line is where founders lose value without noticing. A pool inside the pre-money reduces the founders’ share, not the investor’s, whatever its size — so the investor has no reason to keep it small. Negotiating a smaller pool, or a post-money allocation, is frequently worth more than an argument about valuation.</w:t>
      </w:r>
    </w:p>
    <w:p>
      <w:pPr>
        <w:keepNext/>
        <w:spacing w:after="120" w:before="280"/>
        <w:outlineLvl w:val="0"/>
      </w:pPr>
      <w:r>
        <w:rPr>
          <w:rFonts w:ascii="Calibri" w:cs="Calibri" w:eastAsia="Calibri" w:hAnsi="Calibri"/>
          <w:b/>
          <w:bCs/>
          <w:color w:val="14161B"/>
          <w:sz w:val="22"/>
          <w:szCs w:val="22"/>
        </w:rPr>
        <w:t xml:space="preserve">4. PREFERENCE TERMS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891"/>
        <w:gridCol w:w="2313"/>
        <w:gridCol w:w="2314"/>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Term</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Common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Founder-friendly</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Investor-friendly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Liquidation preference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1× non-participating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 non-participating</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Participating, or a multiple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Participation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 the greater of preference or converted value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 preference </w:t>
            </w:r>
            <w:r>
              <w:rPr>
                <w:rFonts w:ascii="Calibri" w:cs="Calibri" w:eastAsia="Calibri" w:hAnsi="Calibri"/>
                <w:b/>
                <w:bCs/>
                <w:sz w:val="16"/>
                <w:szCs w:val="16"/>
              </w:rPr>
              <w:t xml:space="preserve">and</w:t>
            </w:r>
            <w:r>
              <w:rPr>
                <w:rFonts w:ascii="Calibri" w:cs="Calibri" w:eastAsia="Calibri" w:hAnsi="Calibri"/>
                <w:sz w:val="16"/>
                <w:szCs w:val="16"/>
              </w:rPr>
              <w:t xml:space="preserve"> pro rata</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Dividends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Non-cumulative, as declared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Non-cumulative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Cumulative and accruing</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Anti-dilution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Broad-based weighted average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Broad-based, or 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ratchet</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Conversion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 the investor’s option; automatic on a qualifying listing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Automatic on any listing</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consent required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Redemption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Redeemable after </w:t>
            </w:r>
            <w:r>
              <w:rPr>
                <w:rFonts w:ascii="Calibri" w:cs="Calibri" w:eastAsia="Calibri" w:hAnsi="Calibri"/>
                <w:b/>
                <w:bCs/>
                <w:sz w:val="16"/>
                <w:szCs w:val="16"/>
              </w:rPr>
              <w:t xml:space="preserve">[5]</w:t>
            </w:r>
            <w:r>
              <w:rPr>
                <w:rFonts w:ascii="Calibri" w:cs="Calibri" w:eastAsia="Calibri" w:hAnsi="Calibri"/>
                <w:sz w:val="16"/>
                <w:szCs w:val="16"/>
              </w:rPr>
              <w:t xml:space="preserve"> years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Pre-emption on new issues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 plus over-allotment</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Liquidation preference</w:t>
      </w:r>
      <w:r>
        <w:rPr>
          <w:rFonts w:ascii="Calibri" w:cs="Calibri" w:eastAsia="Calibri" w:hAnsi="Calibri"/>
          <w:sz w:val="21"/>
          <w:szCs w:val="21"/>
        </w:rPr>
        <w:t xml:space="preserve"> is the most consequential economic term after valuation. A participating preference means the investor takes its money back </w:t>
      </w:r>
      <w:r>
        <w:rPr>
          <w:rFonts w:ascii="Calibri" w:cs="Calibri" w:eastAsia="Calibri" w:hAnsi="Calibri"/>
          <w:b/>
          <w:bCs/>
          <w:sz w:val="21"/>
          <w:szCs w:val="21"/>
        </w:rPr>
        <w:t xml:space="preserve">and</w:t>
      </w:r>
      <w:r>
        <w:rPr>
          <w:rFonts w:ascii="Calibri" w:cs="Calibri" w:eastAsia="Calibri" w:hAnsi="Calibri"/>
          <w:sz w:val="21"/>
          <w:szCs w:val="21"/>
        </w:rPr>
        <w:t xml:space="preserve"> shares the balance, which at modest exit values can leave founders with very little.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Check the entity can actually create preference shares. A mainland LLC cannot readily do what a DIFC or ADGM company can, and a preference structure agreed in a term sheet that the entity cannot implement has to be renegotiated at closing.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CONDITIONS AND CLOSING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366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Condition</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Due diligence completed to the investor’s satisfaction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 visas, WPS, Emiratisation, UBO, tax</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Constitutional documents amended to create the share rights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Notarisation and DED approval if 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Shareholders’ agreement executed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Board and shareholder approvals obtained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Notarised where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Pre-emption on new issues waived or complied with</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 writing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 service agreements and vesting executed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 IP assigned to the company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Including pre-incorporation work</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Disclosure letter delivered and accepted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material adverse change</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Funds received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Shares issued and the register updated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[Notarised MOA amendment if 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UBO register updated and filed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Where the investor crosses 25%</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 amended where shareholding is recorded on it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director appointed and recorded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Notarised if 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table reconciled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notified and mandate updated</w:t>
            </w:r>
          </w:p>
        </w:tc>
        <w:tc>
          <w:tcPr>
            <w:tcW w:type="dxa" w:w="3662"/>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Steps 2, 11 and 13 are the ones that make a UAE closing slower than a common-law one. Where the entity is a mainland LLC, allow weeks for notarisation and authority approval, and confirm that any overseas signatory has an attested power of attorney in place well beforehand.</w:t>
      </w:r>
    </w:p>
    <w:p>
      <w:pPr>
        <w:keepNext/>
        <w:spacing w:after="120" w:before="280"/>
        <w:outlineLvl w:val="0"/>
      </w:pPr>
      <w:r>
        <w:rPr>
          <w:rFonts w:ascii="Calibri" w:cs="Calibri" w:eastAsia="Calibri" w:hAnsi="Calibri"/>
          <w:b/>
          <w:bCs/>
          <w:color w:val="14161B"/>
          <w:sz w:val="22"/>
          <w:szCs w:val="22"/>
        </w:rPr>
        <w:t xml:space="preserve">6. WARRANTIES AND LIMITS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w:t>
      </w:r>
      <w:r>
        <w:rPr>
          <w:rFonts w:ascii="Calibri" w:cs="Calibri" w:eastAsia="Calibri" w:hAnsi="Calibri"/>
          <w:b/>
          <w:bCs/>
          <w:sz w:val="21"/>
          <w:szCs w:val="21"/>
        </w:rPr>
        <w:t xml:space="preserve">[and the Founders]</w:t>
      </w:r>
      <w:r>
        <w:rPr>
          <w:rFonts w:ascii="Calibri" w:cs="Calibri" w:eastAsia="Calibri" w:hAnsi="Calibri"/>
          <w:sz w:val="21"/>
          <w:szCs w:val="21"/>
        </w:rPr>
        <w:t xml:space="preserve"> warrant in the terms of the disclosure schedule, subject to matters </w:t>
      </w:r>
      <w:r>
        <w:rPr>
          <w:rFonts w:ascii="Calibri" w:cs="Calibri" w:eastAsia="Calibri" w:hAnsi="Calibri"/>
          <w:b/>
          <w:bCs/>
          <w:sz w:val="21"/>
          <w:szCs w:val="21"/>
        </w:rPr>
        <w:t xml:space="preserve">fairly disclosed</w:t>
      </w:r>
      <w:r>
        <w:rPr>
          <w:rFonts w:ascii="Calibri" w:cs="Calibri" w:eastAsia="Calibri" w:hAnsi="Calibri"/>
          <w:sz w:val="21"/>
          <w:szCs w:val="21"/>
        </w:rPr>
        <w:t xml:space="preserve"> in the disclosure letter.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Limit</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on company warranties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subscription amount]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 on founder warranties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materially lower figure]</w:t>
            </w:r>
            <w:r>
              <w:rPr>
                <w:rFonts w:ascii="Calibri" w:cs="Calibri" w:eastAsia="Calibri" w:hAnsi="Calibri"/>
                <w:sz w:val="18"/>
                <w:szCs w:val="18"/>
              </w:rPr>
              <w:t xml:space="preserve"> — founders have not received the investment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general warranties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[18–24]</w:t>
            </w:r>
            <w:r>
              <w:rPr>
                <w:rFonts w:ascii="Calibri" w:cs="Calibri" w:eastAsia="Calibri" w:hAnsi="Calibri"/>
                <w:sz w:val="18"/>
                <w:szCs w:val="18"/>
              </w:rPr>
              <w:t xml:space="preserve"> months, covering at least one audit cycle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limit — tax and title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[Longer]</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 minimis per claim</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Aggregate threshold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liability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Several, not joint — each capped at their own consideration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Fraud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limit applies</w:t>
            </w:r>
          </w:p>
        </w:tc>
      </w:tr>
    </w:tbl>
    <w:p>
      <w:pPr>
        <w:spacing w:after="140"/>
      </w:pP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"Fairly disclosed" does real work. A disclosure letter listing document titles, or attaching a data room index, does not fairly disclose anything — it must give enough detail for the investor to assess the issue.</w:t>
      </w:r>
    </w:p>
    <w:p>
      <w:pPr>
        <w:keepNext/>
        <w:spacing w:after="120" w:before="280"/>
        <w:outlineLvl w:val="0"/>
      </w:pPr>
      <w:r>
        <w:rPr>
          <w:rFonts w:ascii="Calibri" w:cs="Calibri" w:eastAsia="Calibri" w:hAnsi="Calibri"/>
          <w:b/>
          <w:bCs/>
          <w:color w:val="14161B"/>
          <w:sz w:val="22"/>
          <w:szCs w:val="22"/>
        </w:rPr>
        <w:t xml:space="preserve">7. WHAT THE UAE DOES NOT REQUIRE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applicable</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Meaning</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Exchange control</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pricing guidelines, no foreign investment filings, no restriction on returns to non-residents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Prescribed valuation methodology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statutory method governing the price at which shares may be issued</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Stamp duty on a share subscription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Issuing new shares attracts no duty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Capital gains tax, generally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Gains are generally untaxed — but where shares are dealt with as a trade, the gain may be income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 value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 UAE concept in the way some jurisdictions use it</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i/>
          <w:iCs/>
          <w:sz w:val="21"/>
          <w:szCs w:val="21"/>
        </w:rPr>
        <w:t xml:space="preserve">Founders and investors arriving from jurisdictions with exchange control or valuation rules routinely import machinery that does nothing here except confuse counsel and slow the deal. Strip it out.</w:t>
      </w:r>
    </w:p>
    <w:p>
      <w:pPr>
        <w:keepNext/>
        <w:spacing w:after="120" w:before="280"/>
        <w:outlineLvl w:val="0"/>
      </w:pPr>
      <w:r>
        <w:rPr>
          <w:rFonts w:ascii="Calibri" w:cs="Calibri" w:eastAsia="Calibri" w:hAnsi="Calibri"/>
          <w:b/>
          <w:bCs/>
          <w:color w:val="14161B"/>
          <w:sz w:val="22"/>
          <w:szCs w:val="22"/>
        </w:rPr>
        <w:t xml:space="preserve">8. EXCLUSIVITY, CONFIDENTIALITY AND COSTS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Exclusivity.</w:t>
      </w:r>
      <w:r>
        <w:rPr>
          <w:rFonts w:ascii="Calibri" w:cs="Calibri" w:eastAsia="Calibri" w:hAnsi="Calibri"/>
          <w:sz w:val="21"/>
          <w:szCs w:val="21"/>
        </w:rPr>
        <w:t xml:space="preserve"> The Company shall not solicit or negotiate with any other investor for </w:t>
      </w:r>
      <w:r>
        <w:rPr>
          <w:rFonts w:ascii="Calibri" w:cs="Calibri" w:eastAsia="Calibri" w:hAnsi="Calibri"/>
          <w:b/>
          <w:bCs/>
          <w:sz w:val="21"/>
          <w:szCs w:val="21"/>
        </w:rPr>
        <w:t xml:space="preserve">[45]</w:t>
      </w:r>
      <w:r>
        <w:rPr>
          <w:rFonts w:ascii="Calibri" w:cs="Calibri" w:eastAsia="Calibri" w:hAnsi="Calibri"/>
          <w:sz w:val="21"/>
          <w:szCs w:val="21"/>
        </w:rPr>
        <w:t xml:space="preserve"> days. </w:t>
      </w:r>
      <w:r>
        <w:rPr>
          <w:rFonts w:ascii="Calibri" w:cs="Calibri" w:eastAsia="Calibri" w:hAnsi="Calibri"/>
          <w:b/>
          <w:bCs/>
          <w:sz w:val="21"/>
          <w:szCs w:val="21"/>
        </w:rPr>
        <w:t xml:space="preserve">Binding.</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Confidentiality.</w:t>
      </w:r>
      <w:r>
        <w:rPr>
          <w:rFonts w:ascii="Calibri" w:cs="Calibri" w:eastAsia="Calibri" w:hAnsi="Calibri"/>
          <w:sz w:val="21"/>
          <w:szCs w:val="21"/>
        </w:rPr>
        <w:t xml:space="preserve"> The existence and terms of the term sheet are confidential. </w:t>
      </w:r>
      <w:r>
        <w:rPr>
          <w:rFonts w:ascii="Calibri" w:cs="Calibri" w:eastAsia="Calibri" w:hAnsi="Calibri"/>
          <w:b/>
          <w:bCs/>
          <w:sz w:val="21"/>
          <w:szCs w:val="21"/>
        </w:rPr>
        <w:t xml:space="preserve">Binding.</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Costs.</w:t>
      </w:r>
      <w:r>
        <w:rPr>
          <w:rFonts w:ascii="Calibri" w:cs="Calibri" w:eastAsia="Calibri" w:hAnsi="Calibri"/>
          <w:sz w:val="21"/>
          <w:szCs w:val="21"/>
        </w:rPr>
        <w:t xml:space="preserve"> Each party bears its own — </w:t>
      </w:r>
      <w:r>
        <w:rPr>
          <w:rFonts w:ascii="Calibri" w:cs="Calibri" w:eastAsia="Calibri" w:hAnsi="Calibri"/>
          <w:i/>
          <w:iCs/>
          <w:sz w:val="21"/>
          <w:szCs w:val="21"/>
        </w:rPr>
        <w:t xml:space="preserve">or the Company pays the investor’s reasonable legal costs up to a stated cap on closing; specify which applies</w:t>
      </w:r>
      <w:r>
        <w:rPr>
          <w:rFonts w:ascii="Calibri" w:cs="Calibri" w:eastAsia="Calibri" w:hAnsi="Calibri"/>
          <w:sz w:val="21"/>
          <w:szCs w:val="21"/>
        </w:rPr>
        <w:t xml:space="preserve">. </w:t>
      </w:r>
      <w:r>
        <w:rPr>
          <w:rFonts w:ascii="Calibri" w:cs="Calibri" w:eastAsia="Calibri" w:hAnsi="Calibri"/>
          <w:b/>
          <w:bCs/>
          <w:sz w:val="21"/>
          <w:szCs w:val="21"/>
        </w:rPr>
        <w:t xml:space="preserve">Binding.</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i/>
          <w:iCs/>
          <w:sz w:val="21"/>
          <w:szCs w:val="21"/>
        </w:rPr>
        <w:t xml:space="preserve">Cap the cost undertaking and make it payable on closing only. An uncapped undertaking payable regardless of outcome means a collapsed round still costs the company real money.</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Fix the structure before the term sheet</w:t>
      </w:r>
    </w:p>
    <w:p>
      <w:pPr>
        <w:spacing w:after="60" w:line="264"/>
        <w:jc w:val="both"/>
      </w:pPr>
      <w:r>
        <w:rPr>
          <w:rFonts w:ascii="Calibri" w:cs="Calibri" w:eastAsia="Calibri" w:hAnsi="Calibri"/>
          <w:sz w:val="19"/>
          <w:szCs w:val="19"/>
        </w:rPr>
        <w:t xml:space="preserve">A mainland LLC is a poor investment vehicle — constrained share classes, notarised transfers, DED approval on every change, and option schemes that are difficult to operate. Most UAE venture deals place the investment at an ADGM, DIFC or offshore holding company above the operating entity. Restructuring before the round is far easier than renegotiating at closing.</w:t>
      </w:r>
    </w:p>
    <w:p>
      <w:pPr>
        <w:keepNext/>
        <w:spacing w:after="40" w:before="140"/>
      </w:pPr>
      <w:r>
        <w:rPr>
          <w:rFonts w:ascii="Calibri" w:cs="Calibri" w:eastAsia="Calibri" w:hAnsi="Calibri"/>
          <w:b/>
          <w:bCs/>
          <w:color w:val="14161B"/>
          <w:sz w:val="20"/>
          <w:szCs w:val="20"/>
        </w:rPr>
        <w:t xml:space="preserve">Check the entity can implement what you agree</w:t>
      </w:r>
    </w:p>
    <w:p>
      <w:pPr>
        <w:spacing w:after="60" w:line="264"/>
        <w:jc w:val="both"/>
      </w:pPr>
      <w:r>
        <w:rPr>
          <w:rFonts w:ascii="Calibri" w:cs="Calibri" w:eastAsia="Calibri" w:hAnsi="Calibri"/>
          <w:sz w:val="19"/>
          <w:szCs w:val="19"/>
        </w:rPr>
        <w:t xml:space="preserve">A preference structure, an option pool and drag provisions all assume an entity that can create share classes and transfer shares readily. Agreeing terms in a term sheet that the chosen entity cannot implement means renegotiating under time pressure. Confirm feasibility as part of the structural decision.</w:t>
      </w:r>
    </w:p>
    <w:p>
      <w:pPr>
        <w:keepNext/>
        <w:spacing w:after="40" w:before="140"/>
      </w:pPr>
      <w:r>
        <w:rPr>
          <w:rFonts w:ascii="Calibri" w:cs="Calibri" w:eastAsia="Calibri" w:hAnsi="Calibri"/>
          <w:b/>
          <w:bCs/>
          <w:color w:val="14161B"/>
          <w:sz w:val="20"/>
          <w:szCs w:val="20"/>
        </w:rPr>
        <w:t xml:space="preserve">Say the term sheet is not binding</w:t>
      </w:r>
    </w:p>
    <w:p>
      <w:pPr>
        <w:spacing w:after="60" w:line="264"/>
        <w:jc w:val="both"/>
      </w:pPr>
      <w:r>
        <w:rPr>
          <w:rFonts w:ascii="Calibri" w:cs="Calibri" w:eastAsia="Calibri" w:hAnsi="Calibri"/>
          <w:sz w:val="19"/>
          <w:szCs w:val="19"/>
        </w:rPr>
        <w:t xml:space="preserve">A detailed term sheet without a clear non-binding statement invites an argument that a contract was formed, especially where the parties then act as though bound. Carve out exclusivity, confidentiality and costs, which genuinely are binding.</w:t>
      </w:r>
    </w:p>
    <w:p>
      <w:pPr>
        <w:keepNext/>
        <w:spacing w:after="40" w:before="140"/>
      </w:pPr>
      <w:r>
        <w:rPr>
          <w:rFonts w:ascii="Calibri" w:cs="Calibri" w:eastAsia="Calibri" w:hAnsi="Calibri"/>
          <w:b/>
          <w:bCs/>
          <w:color w:val="14161B"/>
          <w:sz w:val="20"/>
          <w:szCs w:val="20"/>
        </w:rPr>
        <w:t xml:space="preserve">The option pool is where founders quietly lose value</w:t>
      </w:r>
    </w:p>
    <w:p>
      <w:pPr>
        <w:spacing w:after="60" w:line="264"/>
        <w:jc w:val="both"/>
      </w:pPr>
      <w:r>
        <w:rPr>
          <w:rFonts w:ascii="Calibri" w:cs="Calibri" w:eastAsia="Calibri" w:hAnsi="Calibri"/>
          <w:sz w:val="19"/>
          <w:szCs w:val="19"/>
        </w:rPr>
        <w:t xml:space="preserve">A pool created inside the pre-money dilutes existing shareholders only; the investor’s percentage is unchanged whatever its size. The investor therefore has no incentive to keep it small. Model both treatments — reducing an oversized pre-money pool is often worth more than a valuation argument.</w:t>
      </w:r>
    </w:p>
    <w:p>
      <w:pPr>
        <w:keepNext/>
        <w:spacing w:after="40" w:before="140"/>
      </w:pPr>
      <w:r>
        <w:rPr>
          <w:rFonts w:ascii="Calibri" w:cs="Calibri" w:eastAsia="Calibri" w:hAnsi="Calibri"/>
          <w:b/>
          <w:bCs/>
          <w:color w:val="14161B"/>
          <w:sz w:val="20"/>
          <w:szCs w:val="20"/>
        </w:rPr>
        <w:t xml:space="preserve">Liquidation preference matters more than valuation at modest exits</w:t>
      </w:r>
    </w:p>
    <w:p>
      <w:pPr>
        <w:spacing w:after="60" w:line="264"/>
        <w:jc w:val="both"/>
      </w:pPr>
      <w:r>
        <w:rPr>
          <w:rFonts w:ascii="Calibri" w:cs="Calibri" w:eastAsia="Calibri" w:hAnsi="Calibri"/>
          <w:sz w:val="19"/>
          <w:szCs w:val="19"/>
        </w:rPr>
        <w:t xml:space="preserve">A higher valuation with a participating preference can leave founders worse off than a lower valuation with a 1× non-participating preference. Model the waterfall at realistic exit values, not just the optimistic case.</w:t>
      </w:r>
    </w:p>
    <w:p>
      <w:pPr>
        <w:keepNext/>
        <w:spacing w:after="40" w:before="140"/>
      </w:pPr>
      <w:r>
        <w:rPr>
          <w:rFonts w:ascii="Calibri" w:cs="Calibri" w:eastAsia="Calibri" w:hAnsi="Calibri"/>
          <w:b/>
          <w:bCs/>
          <w:color w:val="14161B"/>
          <w:sz w:val="20"/>
          <w:szCs w:val="20"/>
        </w:rPr>
        <w:t xml:space="preserve">Broad-based weighted average, not full ratchet</w:t>
      </w:r>
    </w:p>
    <w:p>
      <w:pPr>
        <w:spacing w:after="60" w:line="264"/>
        <w:jc w:val="both"/>
      </w:pPr>
      <w:r>
        <w:rPr>
          <w:rFonts w:ascii="Calibri" w:cs="Calibri" w:eastAsia="Calibri" w:hAnsi="Calibri"/>
          <w:sz w:val="19"/>
          <w:szCs w:val="19"/>
        </w:rPr>
        <w:t xml:space="preserve">Full ratchet reprices the investor’s entire holding as though it had invested at a later lower price, which at a small down round is severely dilutive to founders. Broad-based weighted average is the market standard and worth holding out for.</w:t>
      </w:r>
    </w:p>
    <w:p>
      <w:pPr>
        <w:keepNext/>
        <w:spacing w:after="40" w:before="140"/>
      </w:pPr>
      <w:r>
        <w:rPr>
          <w:rFonts w:ascii="Calibri" w:cs="Calibri" w:eastAsia="Calibri" w:hAnsi="Calibri"/>
          <w:b/>
          <w:bCs/>
          <w:color w:val="14161B"/>
          <w:sz w:val="20"/>
          <w:szCs w:val="20"/>
        </w:rPr>
        <w:t xml:space="preserve">Allow weeks for notarisation in a mainland closing</w:t>
      </w:r>
    </w:p>
    <w:p>
      <w:pPr>
        <w:spacing w:after="60" w:line="264"/>
        <w:jc w:val="both"/>
      </w:pPr>
      <w:r>
        <w:rPr>
          <w:rFonts w:ascii="Calibri" w:cs="Calibri" w:eastAsia="Calibri" w:hAnsi="Calibri"/>
          <w:sz w:val="19"/>
          <w:szCs w:val="19"/>
        </w:rPr>
        <w:t xml:space="preserve">Amending constitutional documents, issuing shares and recording a director all require notarisation and authority approval where the entity is a mainland LLC. Overseas signatories need attested powers of attorney, which take three to six weeks to prepare. This is the difference between a UAE closing timetable and a common-law one.</w:t>
      </w:r>
    </w:p>
    <w:p>
      <w:pPr>
        <w:keepNext/>
        <w:spacing w:after="40" w:before="140"/>
      </w:pPr>
      <w:r>
        <w:rPr>
          <w:rFonts w:ascii="Calibri" w:cs="Calibri" w:eastAsia="Calibri" w:hAnsi="Calibri"/>
          <w:b/>
          <w:bCs/>
          <w:color w:val="14161B"/>
          <w:sz w:val="20"/>
          <w:szCs w:val="20"/>
        </w:rPr>
        <w:t xml:space="preserve">Update the UBO register at closing</w:t>
      </w:r>
    </w:p>
    <w:p>
      <w:pPr>
        <w:spacing w:after="60" w:line="264"/>
        <w:jc w:val="both"/>
      </w:pPr>
      <w:r>
        <w:rPr>
          <w:rFonts w:ascii="Calibri" w:cs="Calibri" w:eastAsia="Calibri" w:hAnsi="Calibri"/>
          <w:sz w:val="19"/>
          <w:szCs w:val="19"/>
        </w:rPr>
        <w:t xml:space="preserve">An investor crossing the 25 per cent threshold becomes a registrable controller, with register and filing obligations. It is a closing step, not a follow-up item, and it is checked in banking and licensing.</w:t>
      </w:r>
    </w:p>
    <w:p>
      <w:pPr>
        <w:keepNext/>
        <w:spacing w:after="40" w:before="140"/>
      </w:pPr>
      <w:r>
        <w:rPr>
          <w:rFonts w:ascii="Calibri" w:cs="Calibri" w:eastAsia="Calibri" w:hAnsi="Calibri"/>
          <w:b/>
          <w:bCs/>
          <w:color w:val="14161B"/>
          <w:sz w:val="20"/>
          <w:szCs w:val="20"/>
        </w:rPr>
        <w:t xml:space="preserve">Founders should give several, not joint, liability</w:t>
      </w:r>
    </w:p>
    <w:p>
      <w:pPr>
        <w:spacing w:after="60" w:line="264"/>
        <w:jc w:val="both"/>
      </w:pPr>
      <w:r>
        <w:rPr>
          <w:rFonts w:ascii="Calibri" w:cs="Calibri" w:eastAsia="Calibri" w:hAnsi="Calibri"/>
          <w:sz w:val="19"/>
          <w:szCs w:val="19"/>
        </w:rPr>
        <w:t xml:space="preserve">Joint liability lets an investor pursue one founder for the entire warranty claim, leaving them to chase the others. Several liability capped at each founder’s own consideration is the position to insist on — among the most important negotiating points for founders.</w:t>
      </w:r>
    </w:p>
    <w:p>
      <w:pPr>
        <w:keepNext/>
        <w:spacing w:after="40" w:before="140"/>
      </w:pPr>
      <w:r>
        <w:rPr>
          <w:rFonts w:ascii="Calibri" w:cs="Calibri" w:eastAsia="Calibri" w:hAnsi="Calibri"/>
          <w:b/>
          <w:bCs/>
          <w:color w:val="14161B"/>
          <w:sz w:val="20"/>
          <w:szCs w:val="20"/>
        </w:rPr>
        <w:t xml:space="preserve">Fair disclosure is the battleground</w:t>
      </w:r>
    </w:p>
    <w:p>
      <w:pPr>
        <w:spacing w:after="60" w:line="264"/>
        <w:jc w:val="both"/>
      </w:pPr>
      <w:r>
        <w:rPr>
          <w:rFonts w:ascii="Calibri" w:cs="Calibri" w:eastAsia="Calibri" w:hAnsi="Calibri"/>
          <w:sz w:val="19"/>
          <w:szCs w:val="19"/>
        </w:rPr>
        <w:t xml:space="preserve">Warranties are given subject to what is fairly disclosed. A disclosure letter that lists document titles or attaches a data room index does not fairly disclose anything. Founders benefit from disclosing generously; investors from insisting on specificity.</w:t>
      </w:r>
    </w:p>
    <w:p>
      <w:pPr>
        <w:keepNext/>
        <w:spacing w:after="40" w:before="140"/>
      </w:pPr>
      <w:r>
        <w:rPr>
          <w:rFonts w:ascii="Calibri" w:cs="Calibri" w:eastAsia="Calibri" w:hAnsi="Calibri"/>
          <w:b/>
          <w:bCs/>
          <w:color w:val="14161B"/>
          <w:sz w:val="20"/>
          <w:szCs w:val="20"/>
        </w:rPr>
        <w:t xml:space="preserve">Do not import exchange control machinery</w:t>
      </w:r>
    </w:p>
    <w:p>
      <w:pPr>
        <w:spacing w:after="60" w:line="264"/>
        <w:jc w:val="both"/>
      </w:pPr>
      <w:r>
        <w:rPr>
          <w:rFonts w:ascii="Calibri" w:cs="Calibri" w:eastAsia="Calibri" w:hAnsi="Calibri"/>
          <w:sz w:val="19"/>
          <w:szCs w:val="19"/>
        </w:rPr>
        <w:t xml:space="preserve">The UAE has no exchange control, no prescribed valuation methodology and no foreign investment filing regime. Term sheets ported from jurisdictions with those regimes carry clauses that do nothing except confuse counsel and slow the process.</w:t>
      </w:r>
    </w:p>
    <w:p>
      <w:pPr>
        <w:keepNext/>
        <w:spacing w:after="40" w:before="140"/>
      </w:pPr>
      <w:r>
        <w:rPr>
          <w:rFonts w:ascii="Calibri" w:cs="Calibri" w:eastAsia="Calibri" w:hAnsi="Calibri"/>
          <w:b/>
          <w:bCs/>
          <w:color w:val="14161B"/>
          <w:sz w:val="20"/>
          <w:szCs w:val="20"/>
        </w:rPr>
        <w:t xml:space="preserve">Diligence will test the operational compliance</w:t>
      </w:r>
    </w:p>
    <w:p>
      <w:pPr>
        <w:spacing w:after="60" w:line="264"/>
        <w:jc w:val="both"/>
      </w:pPr>
      <w:r>
        <w:rPr>
          <w:rFonts w:ascii="Calibri" w:cs="Calibri" w:eastAsia="Calibri" w:hAnsi="Calibri"/>
          <w:sz w:val="19"/>
          <w:szCs w:val="19"/>
        </w:rPr>
        <w:t xml:space="preserve">Licence validity, visa quota, WPS records, Emiratisation position, UBO filings and corporate tax registration are all standard diligence items in the UAE and are all commonly deficient in a growing company. Fix them before the data room opens, not during exclusivity.</w:t>
      </w:r>
    </w:p>
    <w:p>
      <w:pPr>
        <w:keepNext/>
        <w:spacing w:after="40" w:before="140"/>
      </w:pPr>
      <w:r>
        <w:rPr>
          <w:rFonts w:ascii="Calibri" w:cs="Calibri" w:eastAsia="Calibri" w:hAnsi="Calibri"/>
          <w:b/>
          <w:bCs/>
          <w:color w:val="14161B"/>
          <w:sz w:val="20"/>
          <w:szCs w:val="20"/>
        </w:rPr>
        <w:t xml:space="preserve">Keep exclusivity short and cap the costs</w:t>
      </w:r>
    </w:p>
    <w:p>
      <w:pPr>
        <w:spacing w:after="60" w:line="264"/>
        <w:jc w:val="both"/>
      </w:pPr>
      <w:r>
        <w:rPr>
          <w:rFonts w:ascii="Calibri" w:cs="Calibri" w:eastAsia="Calibri" w:hAnsi="Calibri"/>
          <w:sz w:val="19"/>
          <w:szCs w:val="19"/>
        </w:rPr>
        <w:t xml:space="preserve">Exclusivity is binding and is a real concession — keep it to what diligence genuinely requires, and make it fall away if the investor materially changes terms. Cap the legal cost undertaking and make it payable on closing only.</w:t>
      </w:r>
    </w:p>
    <w:p>
      <w:pPr>
        <w:keepNext/>
        <w:spacing w:after="40" w:before="140"/>
      </w:pPr>
      <w:r>
        <w:rPr>
          <w:rFonts w:ascii="Calibri" w:cs="Calibri" w:eastAsia="Calibri" w:hAnsi="Calibri"/>
          <w:b/>
          <w:bCs/>
          <w:color w:val="14161B"/>
          <w:sz w:val="20"/>
          <w:szCs w:val="20"/>
        </w:rPr>
        <w:t xml:space="preserve">Founder IP assignment is a standard diligence failure</w:t>
      </w:r>
    </w:p>
    <w:p>
      <w:pPr>
        <w:spacing w:after="60" w:line="264"/>
        <w:jc w:val="both"/>
      </w:pPr>
      <w:r>
        <w:rPr>
          <w:rFonts w:ascii="Calibri" w:cs="Calibri" w:eastAsia="Calibri" w:hAnsi="Calibri"/>
          <w:sz w:val="19"/>
          <w:szCs w:val="19"/>
        </w:rPr>
        <w:t xml:space="preserve">Code, designs and brand created by founders before incorporation belong to them personally unless assigned. It is the most common serious defect found in early-stage diligence and it can stop a round. Execute the assignments before diligence starts.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market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 of 2025 including redomiciliation, and DIFC, ADGM and free zone company rules, UBO obligations and tax treatment all change — take UAE legal and tax advice on the structure before signing a term sheet.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2026-08-23T16:28:34.525Z</dcterms:created>
  <dcterms:modified xsi:type="dcterms:W3CDTF">2026-08-23T16:28:34.525Z</dcterms:modified>
</cp:coreProperties>
</file>

<file path=docProps/custom.xml><?xml version="1.0" encoding="utf-8"?>
<Properties xmlns="http://schemas.openxmlformats.org/officeDocument/2006/custom-properties" xmlns:vt="http://schemas.openxmlformats.org/officeDocument/2006/docPropsVTypes"/>
</file>