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PROCUREMENT</w:t>
      </w:r>
    </w:p>
    <w:p>
      <w:pPr>
        <w:spacing w:after="260"/>
        <w:jc w:val="center"/>
      </w:pPr>
      <w:r>
        <w:rPr>
          <w:rFonts w:ascii="Calibri" w:cs="Calibri" w:eastAsia="Calibri" w:hAnsi="Calibri"/>
          <w:i/>
          <w:iCs/>
          <w:color w:val="6E7480"/>
          <w:sz w:val="19"/>
          <w:szCs w:val="19"/>
        </w:rPr>
        <w:t xml:space="preserve">Buying, supplier onboarding and payment controls</w:t>
      </w:r>
    </w:p>
    <w:p>
      <w:pPr>
        <w:spacing w:after="180" w:before="0" w:line="276"/>
        <w:jc w:val="both"/>
      </w:pPr>
      <w:r>
        <w:rPr>
          <w:rFonts w:ascii="Calibri" w:cs="Calibri" w:eastAsia="Calibri" w:hAnsi="Calibri"/>
          <w:i/>
          <w:iCs/>
          <w:color w:val="6E7480"/>
          <w:sz w:val="21"/>
          <w:szCs w:val="21"/>
        </w:rPr>
        <w:t xml:space="preserve">Two UAE-specific checks belong at the front of any supplier onboarding. </w:t>
      </w:r>
      <w:r>
        <w:rPr>
          <w:rFonts w:ascii="Calibri" w:cs="Calibri" w:eastAsia="Calibri" w:hAnsi="Calibri"/>
          <w:b/>
          <w:bCs/>
          <w:i/>
          <w:iCs/>
          <w:color w:val="6E7480"/>
          <w:sz w:val="21"/>
          <w:szCs w:val="21"/>
        </w:rPr>
        <w:t xml:space="preserve">Is the supplier licensed for what you are buying?</w:t>
      </w:r>
      <w:r>
        <w:rPr>
          <w:rFonts w:ascii="Calibri" w:cs="Calibri" w:eastAsia="Calibri" w:hAnsi="Calibri"/>
          <w:i/>
          <w:iCs/>
          <w:color w:val="6E7480"/>
          <w:sz w:val="21"/>
          <w:szCs w:val="21"/>
        </w:rPr>
        <w:t xml:space="preserve"> — a company may only trade in its licensed activities. And </w:t>
      </w:r>
      <w:r>
        <w:rPr>
          <w:rFonts w:ascii="Calibri" w:cs="Calibri" w:eastAsia="Calibri" w:hAnsi="Calibri"/>
          <w:b/>
          <w:bCs/>
          <w:i/>
          <w:iCs/>
          <w:color w:val="6E7480"/>
          <w:sz w:val="21"/>
          <w:szCs w:val="21"/>
        </w:rPr>
        <w:t xml:space="preserve">is this a related party?</w:t>
      </w:r>
      <w:r>
        <w:rPr>
          <w:rFonts w:ascii="Calibri" w:cs="Calibri" w:eastAsia="Calibri" w:hAnsi="Calibri"/>
          <w:i/>
          <w:iCs/>
          <w:color w:val="6E7480"/>
          <w:sz w:val="21"/>
          <w:szCs w:val="21"/>
        </w:rPr>
        <w:t xml:space="preserve"> — because payments to connected persons must be at market value or they are disallowed for corporate tax.</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VAT registered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TRN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Approval limits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 the delegated authority matrix]</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Purchase orders required above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Competitive quotes required above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 </w:t>
            </w:r>
            <w:r>
              <w:rPr>
                <w:rFonts w:ascii="Calibri" w:cs="Calibri" w:eastAsia="Calibri" w:hAnsi="Calibri"/>
                <w:b/>
                <w:bCs/>
                <w:sz w:val="19"/>
                <w:szCs w:val="19"/>
              </w:rPr>
              <w:t xml:space="preserve">[NUMBER]</w:t>
            </w:r>
            <w:r>
              <w:rPr>
                <w:rFonts w:ascii="Calibri" w:cs="Calibri" w:eastAsia="Calibri" w:hAnsi="Calibri"/>
                <w:sz w:val="19"/>
                <w:szCs w:val="19"/>
              </w:rPr>
              <w:t xml:space="preserve"> quotes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Standard payment terms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[30]</w:t>
            </w:r>
            <w:r>
              <w:rPr>
                <w:rFonts w:ascii="Calibri" w:cs="Calibri" w:eastAsia="Calibri" w:hAnsi="Calibri"/>
                <w:sz w:val="19"/>
                <w:szCs w:val="19"/>
              </w:rPr>
              <w:t xml:space="preserve"> days from a valid tax invoice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Supplier register held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ONBOARDING A SUPPLIER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662"/>
        <w:gridCol w:w="4047"/>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Trade licence obtained and activity list read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supplier may only trade in what it is licensed for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currently valid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Re-check at renewal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this a related party or connected person?</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Arm’s length pricing and documentation required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VAT registration and TRN verified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Needed for input tax recovery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details obtained </w:t>
            </w:r>
            <w:r>
              <w:rPr>
                <w:rFonts w:ascii="Calibri" w:cs="Calibri" w:eastAsia="Calibri" w:hAnsi="Calibri"/>
                <w:b/>
                <w:bCs/>
                <w:sz w:val="17"/>
                <w:szCs w:val="17"/>
              </w:rPr>
              <w:t xml:space="preserve">and verified by call-back</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a number you already hold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Beneficial ownership understood for material suppliers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Conflicts and sanctions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Sanctions screening</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 onboarding and periodically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Insurance evidence where relevant</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PI, public and product liability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[Individual suppliers: permit to provide services]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Freelance permit or equivalent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Data protection terms where personal data is involved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Processing agreement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Anti-bribery terms and no candidate-fee confirmation</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agencies especially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Added to the supplier register with an owner</w:t>
            </w:r>
          </w:p>
        </w:tc>
        <w:tc>
          <w:tcPr>
            <w:tcW w:type="dxa" w:w="4047"/>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Check 3 catches owner-managed businesses. Buying from a company owned by the founder, a director or a relative is a related party transaction. It is permitted — but it must be at market value, documented, and approved with the interested party abstaining.</w:t>
      </w:r>
    </w:p>
    <w:p>
      <w:pPr>
        <w:keepNext/>
        <w:spacing w:after="120" w:before="280"/>
        <w:outlineLvl w:val="0"/>
      </w:pPr>
      <w:r>
        <w:rPr>
          <w:rFonts w:ascii="Calibri" w:cs="Calibri" w:eastAsia="Calibri" w:hAnsi="Calibri"/>
          <w:b/>
          <w:bCs/>
          <w:color w:val="14161B"/>
          <w:sz w:val="22"/>
          <w:szCs w:val="22"/>
        </w:rPr>
        <w:t xml:space="preserve">2. BUYING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Value</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Below AED </w:t>
            </w:r>
            <w:r>
              <w:rPr>
                <w:rFonts w:ascii="Calibri" w:cs="Calibri" w:eastAsia="Calibri" w:hAnsi="Calibri"/>
                <w:b/>
                <w:bCs/>
                <w:sz w:val="18"/>
                <w:szCs w:val="18"/>
              </w:rPr>
              <w:t xml:space="preserve">[AMOUNT]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Approved by </w:t>
            </w:r>
            <w:r>
              <w:rPr>
                <w:rFonts w:ascii="Calibri" w:cs="Calibri" w:eastAsia="Calibri" w:hAnsi="Calibri"/>
                <w:b/>
                <w:bCs/>
                <w:sz w:val="18"/>
                <w:szCs w:val="18"/>
              </w:rPr>
              <w:t xml:space="preserve">[ROLE]</w:t>
            </w:r>
            <w:r>
              <w:rPr>
                <w:rFonts w:ascii="Calibri" w:cs="Calibri" w:eastAsia="Calibri" w:hAnsi="Calibri"/>
                <w:sz w:val="18"/>
                <w:szCs w:val="18"/>
              </w:rPr>
              <w:t xml:space="preserve">; receipt required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AED </w:t>
            </w:r>
            <w:r>
              <w:rPr>
                <w:rFonts w:ascii="Calibri" w:cs="Calibri" w:eastAsia="Calibri" w:hAnsi="Calibri"/>
                <w:b/>
                <w:bCs/>
                <w:sz w:val="18"/>
                <w:szCs w:val="18"/>
              </w:rPr>
              <w:t xml:space="preserve">[AMOUNT]</w:t>
            </w:r>
            <w:r>
              <w:rPr>
                <w:rFonts w:ascii="Calibri" w:cs="Calibri" w:eastAsia="Calibri" w:hAnsi="Calibri"/>
                <w:sz w:val="18"/>
                <w:szCs w:val="18"/>
              </w:rPr>
              <w:t xml:space="preserve"> to </w:t>
            </w:r>
            <w:r>
              <w:rPr>
                <w:rFonts w:ascii="Calibri" w:cs="Calibri" w:eastAsia="Calibri" w:hAnsi="Calibri"/>
                <w:b/>
                <w:bCs/>
                <w:sz w:val="18"/>
                <w:szCs w:val="18"/>
              </w:rPr>
              <w:t xml:space="preserve">[AMOUNT]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Purchase order; approved by </w:t>
            </w:r>
            <w:r>
              <w:rPr>
                <w:rFonts w:ascii="Calibri" w:cs="Calibri" w:eastAsia="Calibri" w:hAnsi="Calibri"/>
                <w:b/>
                <w:bCs/>
                <w:sz w:val="18"/>
                <w:szCs w:val="18"/>
              </w:rPr>
              <w:t xml:space="preserve">[ROLE]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Above AED </w:t>
            </w:r>
            <w:r>
              <w:rPr>
                <w:rFonts w:ascii="Calibri" w:cs="Calibri" w:eastAsia="Calibri" w:hAnsi="Calibri"/>
                <w:b/>
                <w:bCs/>
                <w:sz w:val="18"/>
                <w:szCs w:val="18"/>
              </w:rPr>
              <w:t xml:space="preserve">[AMOUNT]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[3]</w:t>
            </w:r>
            <w:r>
              <w:rPr>
                <w:rFonts w:ascii="Calibri" w:cs="Calibri" w:eastAsia="Calibri" w:hAnsi="Calibri"/>
                <w:b/>
                <w:bCs/>
                <w:sz w:val="18"/>
                <w:szCs w:val="18"/>
              </w:rPr>
              <w:t xml:space="preserve"> quotes</w:t>
            </w:r>
            <w:r>
              <w:rPr>
                <w:rFonts w:ascii="Calibri" w:cs="Calibri" w:eastAsia="Calibri" w:hAnsi="Calibri"/>
                <w:sz w:val="18"/>
                <w:szCs w:val="18"/>
              </w:rPr>
              <w:t xml:space="preserve">; written contract; approved by </w:t>
            </w:r>
            <w:r>
              <w:rPr>
                <w:rFonts w:ascii="Calibri" w:cs="Calibri" w:eastAsia="Calibri" w:hAnsi="Calibri"/>
                <w:b/>
                <w:bCs/>
                <w:sz w:val="18"/>
                <w:szCs w:val="18"/>
              </w:rPr>
              <w:t xml:space="preserve">[ROLE]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Above AED </w:t>
            </w:r>
            <w:r>
              <w:rPr>
                <w:rFonts w:ascii="Calibri" w:cs="Calibri" w:eastAsia="Calibri" w:hAnsi="Calibri"/>
                <w:b/>
                <w:bCs/>
                <w:sz w:val="18"/>
                <w:szCs w:val="18"/>
              </w:rPr>
              <w:t xml:space="preserve">[AMOUNT]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Shareholder or board approval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 related party transaction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Approval with the interested party abstaining, whatever the value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commitment beyond </w:t>
            </w:r>
            <w:r>
              <w:rPr>
                <w:rFonts w:ascii="Calibri" w:cs="Calibri" w:eastAsia="Calibri" w:hAnsi="Calibri"/>
                <w:b/>
                <w:bCs/>
                <w:sz w:val="18"/>
                <w:szCs w:val="18"/>
              </w:rPr>
              <w:t xml:space="preserve">[12]</w:t>
            </w:r>
            <w:r>
              <w:rPr>
                <w:rFonts w:ascii="Calibri" w:cs="Calibri" w:eastAsia="Calibri" w:hAnsi="Calibri"/>
                <w:sz w:val="18"/>
                <w:szCs w:val="18"/>
              </w:rPr>
              <w:t xml:space="preserve"> months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Approval at the higher level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Anything involving personal data</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 review before signing</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Nobody approves their own purchase</w:t>
      </w:r>
      <w:r>
        <w:rPr>
          <w:rFonts w:ascii="Calibri" w:cs="Calibri" w:eastAsia="Calibri" w:hAnsi="Calibri"/>
          <w:sz w:val="21"/>
          <w:szCs w:val="21"/>
        </w:rPr>
        <w:t xml:space="preserve">, and nobody’s purchase is approved by someone reporting to them.</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Where quotes are not obtained — a sole source, an urgent need, a technical requirement — </w:t>
      </w:r>
      <w:r>
        <w:rPr>
          <w:rFonts w:ascii="Calibri" w:cs="Calibri" w:eastAsia="Calibri" w:hAnsi="Calibri"/>
          <w:b/>
          <w:bCs/>
          <w:sz w:val="21"/>
          <w:szCs w:val="21"/>
        </w:rPr>
        <w:t xml:space="preserve">record the reason</w:t>
      </w:r>
      <w:r>
        <w:rPr>
          <w:rFonts w:ascii="Calibri" w:cs="Calibri" w:eastAsia="Calibri" w:hAnsi="Calibri"/>
          <w:sz w:val="21"/>
          <w:szCs w:val="21"/>
        </w:rPr>
        <w:t xml:space="preserve"> rather than skipping the step silently.</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Read the insurance and liability clauses before signing</w:t>
      </w:r>
      <w:r>
        <w:rPr>
          <w:rFonts w:ascii="Calibri" w:cs="Calibri" w:eastAsia="Calibri" w:hAnsi="Calibri"/>
          <w:sz w:val="21"/>
          <w:szCs w:val="21"/>
        </w:rPr>
        <w:t xml:space="preserve">, not at renewal. Client-imposed insurance limits and liability caps are easier to negotiate at the drafting stage than after a claim.</w:t>
      </w:r>
    </w:p>
    <w:p>
      <w:pPr>
        <w:keepNext/>
        <w:spacing w:after="120" w:before="280"/>
        <w:outlineLvl w:val="0"/>
      </w:pPr>
      <w:r>
        <w:rPr>
          <w:rFonts w:ascii="Calibri" w:cs="Calibri" w:eastAsia="Calibri" w:hAnsi="Calibri"/>
          <w:b/>
          <w:bCs/>
          <w:color w:val="14161B"/>
          <w:sz w:val="22"/>
          <w:szCs w:val="22"/>
        </w:rPr>
        <w:t xml:space="preserve">3. INVOICES AND PAYMENT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pays against a </w:t>
      </w:r>
      <w:r>
        <w:rPr>
          <w:rFonts w:ascii="Calibri" w:cs="Calibri" w:eastAsia="Calibri" w:hAnsi="Calibri"/>
          <w:b/>
          <w:bCs/>
          <w:sz w:val="21"/>
          <w:szCs w:val="21"/>
        </w:rPr>
        <w:t xml:space="preserve">valid tax invoice</w:t>
      </w:r>
      <w:r>
        <w:rPr>
          <w:rFonts w:ascii="Calibri" w:cs="Calibri" w:eastAsia="Calibri" w:hAnsi="Calibri"/>
          <w:sz w:val="21"/>
          <w:szCs w:val="21"/>
        </w:rPr>
        <w:t xml:space="preserve"> matched to a purchase order and evidence of receipt.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A valid tax invoice requires the supplier’s </w:t>
      </w:r>
      <w:r>
        <w:rPr>
          <w:rFonts w:ascii="Calibri" w:cs="Calibri" w:eastAsia="Calibri" w:hAnsi="Calibri"/>
          <w:b/>
          <w:bCs/>
          <w:sz w:val="21"/>
          <w:szCs w:val="21"/>
        </w:rPr>
        <w:t xml:space="preserve">TRN</w:t>
      </w:r>
      <w:r>
        <w:rPr>
          <w:rFonts w:ascii="Calibri" w:cs="Calibri" w:eastAsia="Calibri" w:hAnsi="Calibri"/>
          <w:sz w:val="21"/>
          <w:szCs w:val="21"/>
        </w:rPr>
        <w:t xml:space="preserve">, the </w:t>
      </w:r>
      <w:r>
        <w:rPr>
          <w:rFonts w:ascii="Calibri" w:cs="Calibri" w:eastAsia="Calibri" w:hAnsi="Calibri"/>
          <w:b/>
          <w:bCs/>
          <w:sz w:val="21"/>
          <w:szCs w:val="21"/>
        </w:rPr>
        <w:t xml:space="preserve">VAT amount in dirhams</w:t>
      </w:r>
      <w:r>
        <w:rPr>
          <w:rFonts w:ascii="Calibri" w:cs="Calibri" w:eastAsia="Calibri" w:hAnsi="Calibri"/>
          <w:sz w:val="21"/>
          <w:szCs w:val="21"/>
        </w:rPr>
        <w:t xml:space="preserve"> and the other required particulars. </w:t>
      </w:r>
      <w:r>
        <w:rPr>
          <w:rFonts w:ascii="Calibri" w:cs="Calibri" w:eastAsia="Calibri" w:hAnsi="Calibri"/>
          <w:b/>
          <w:bCs/>
          <w:sz w:val="21"/>
          <w:szCs w:val="21"/>
        </w:rPr>
        <w:t xml:space="preserve">Without it, input tax cannot be recovered.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Three-way match — </w:t>
      </w:r>
      <w:r>
        <w:rPr>
          <w:rFonts w:ascii="Calibri" w:cs="Calibri" w:eastAsia="Calibri" w:hAnsi="Calibri"/>
          <w:b/>
          <w:bCs/>
          <w:sz w:val="21"/>
          <w:szCs w:val="21"/>
        </w:rPr>
        <w:t xml:space="preserve">order, receipt, invoice</w:t>
      </w:r>
      <w:r>
        <w:rPr>
          <w:rFonts w:ascii="Calibri" w:cs="Calibri" w:eastAsia="Calibri" w:hAnsi="Calibri"/>
          <w:sz w:val="21"/>
          <w:szCs w:val="21"/>
        </w:rPr>
        <w:t xml:space="preserve"> — before payment.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Reverse charge.</w:t>
      </w:r>
      <w:r>
        <w:rPr>
          <w:rFonts w:ascii="Calibri" w:cs="Calibri" w:eastAsia="Calibri" w:hAnsi="Calibri"/>
          <w:sz w:val="21"/>
          <w:szCs w:val="21"/>
        </w:rPr>
        <w:t xml:space="preserve"> Where services are imported from outside the UAE, the Company accounts for the VAT itself. </w:t>
      </w:r>
      <w:r>
        <w:rPr>
          <w:rFonts w:ascii="Calibri" w:cs="Calibri" w:eastAsia="Calibri" w:hAnsi="Calibri"/>
          <w:i/>
          <w:iCs/>
          <w:sz w:val="21"/>
          <w:szCs w:val="21"/>
        </w:rPr>
        <w:t xml:space="preserve">This is the most commonly missed VAT item in any business.</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Payments are made by bank transfer to verified details. </w:t>
      </w:r>
      <w:r>
        <w:rPr>
          <w:rFonts w:ascii="Calibri" w:cs="Calibri" w:eastAsia="Calibri" w:hAnsi="Calibri"/>
          <w:b/>
          <w:bCs/>
          <w:sz w:val="21"/>
          <w:szCs w:val="21"/>
        </w:rPr>
        <w:t xml:space="preserve">Cash payments are not made.</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[Where cheques are issued]</w:t>
      </w:r>
      <w:r>
        <w:rPr>
          <w:rFonts w:ascii="Calibri" w:cs="Calibri" w:eastAsia="Calibri" w:hAnsi="Calibri"/>
          <w:sz w:val="21"/>
          <w:szCs w:val="21"/>
        </w:rPr>
        <w:t xml:space="preserve"> Cheques are logged, and post-dated cheques tracked separately with the date they may be presented and the condition for return.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PAYMENT FRAUD</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most common fraud in this market is an email, apparently from a genuine supplier, </w:t>
      </w:r>
      <w:r>
        <w:rPr>
          <w:rFonts w:ascii="Calibri" w:cs="Calibri" w:eastAsia="Calibri" w:hAnsi="Calibri"/>
          <w:b/>
          <w:bCs/>
          <w:sz w:val="21"/>
          <w:szCs w:val="21"/>
        </w:rPr>
        <w:t xml:space="preserve">changing the bank account details</w:t>
      </w:r>
      <w:r>
        <w:rPr>
          <w:rFonts w:ascii="Calibri" w:cs="Calibri" w:eastAsia="Calibri" w:hAnsi="Calibri"/>
          <w:sz w:val="21"/>
          <w:szCs w:val="21"/>
        </w:rPr>
        <w:t xml:space="preserve"> on an otherwise legitimate invoice.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4820"/>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Control</w:t>
            </w:r>
          </w:p>
        </w:tc>
        <w:tc>
          <w:tcPr>
            <w:tcW w:type="dxa" w:w="48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Verify every change of bank details by call-back</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 a number you already hold — never one on the invoice or email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Split beneficiary set-up between two people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One adds, a different person approves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Treat urgency and secrecy as warning signs</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Both are standard pressure tactics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any unusual instruction from a senior person directly</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a channel you initiate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Match every payment to an order and a receipt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Unmatched payments are where losses hide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the supplier master file for changes</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Restrict who can amend supplier bank details</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And log every change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Train the finance team on the pattern specifically</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They are the target</w:t>
            </w:r>
          </w:p>
        </w:tc>
      </w:tr>
    </w:tbl>
    <w:p>
      <w:pPr>
        <w:spacing w:after="140"/>
      </w:pP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i/>
          <w:iCs/>
          <w:sz w:val="21"/>
          <w:szCs w:val="21"/>
        </w:rPr>
        <w:t xml:space="preserve">Control 1 is the whole defence. The number printed on the changed invoice belongs to whoever sent it, and calling it confirms the fraud rather than detecting it.</w:t>
      </w:r>
    </w:p>
    <w:p>
      <w:pPr>
        <w:keepNext/>
        <w:spacing w:after="120" w:before="280"/>
        <w:outlineLvl w:val="0"/>
      </w:pPr>
      <w:r>
        <w:rPr>
          <w:rFonts w:ascii="Calibri" w:cs="Calibri" w:eastAsia="Calibri" w:hAnsi="Calibri"/>
          <w:b/>
          <w:bCs/>
          <w:color w:val="14161B"/>
          <w:sz w:val="22"/>
          <w:szCs w:val="22"/>
        </w:rPr>
        <w:t xml:space="preserve">5. MANAGING SUPPLIERS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6264"/>
        <w:gridCol w:w="2893"/>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62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Practice</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Named owner for each material supplier</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Supplier licence re-checked at renewal</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Sanctions rescreening</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[Quarterly]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Performance reviewed against the contract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Related party terms re-tested against market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 renewal and notice dates diarised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Concentration risk reviewed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processing arrangements reviewed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evidence refreshed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Dormant suppliers removed from the master file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Auto-renewing contracts with long notice periods are where procurement quietly loses control. Diarise the notice date, not the expiry date — by the expiry date it is already too late.</w:t>
      </w:r>
    </w:p>
    <w:p>
      <w:pPr>
        <w:keepNext/>
        <w:spacing w:after="120" w:before="280"/>
        <w:outlineLvl w:val="0"/>
      </w:pPr>
      <w:r>
        <w:rPr>
          <w:rFonts w:ascii="Calibri" w:cs="Calibri" w:eastAsia="Calibri" w:hAnsi="Calibri"/>
          <w:b/>
          <w:bCs/>
          <w:color w:val="14161B"/>
          <w:sz w:val="22"/>
          <w:szCs w:val="22"/>
        </w:rPr>
        <w:t xml:space="preserve">6. SUPPLIER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927"/>
        <w:gridCol w:w="1252"/>
        <w:gridCol w:w="1349"/>
        <w:gridCol w:w="1252"/>
        <w:gridCol w:w="1252"/>
        <w:gridCol w:w="1156"/>
        <w:gridCol w:w="1065"/>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Supplier</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Licence no.</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Activity checked</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TRN</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Related party?</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Bank verified</w:t>
            </w:r>
          </w:p>
        </w:tc>
        <w:tc>
          <w:tcPr>
            <w:tcW w:type="dxa" w:w="106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Read the supplier’s activity list, not just their licence</w:t>
      </w:r>
    </w:p>
    <w:p>
      <w:pPr>
        <w:spacing w:after="60" w:line="264"/>
        <w:jc w:val="both"/>
      </w:pPr>
      <w:r>
        <w:rPr>
          <w:rFonts w:ascii="Calibri" w:cs="Calibri" w:eastAsia="Calibri" w:hAnsi="Calibri"/>
          <w:sz w:val="19"/>
          <w:szCs w:val="19"/>
        </w:rPr>
        <w:t xml:space="preserve">A UAE company may only trade in the activities on its licence. A supplier operating outside them exposes both parties and can cause invoicing and customs problems. Obtain the licence, read the activities against what you are buying, and re-check at renewal.</w:t>
      </w:r>
    </w:p>
    <w:p>
      <w:pPr>
        <w:keepNext/>
        <w:spacing w:after="40" w:before="140"/>
      </w:pPr>
      <w:r>
        <w:rPr>
          <w:rFonts w:ascii="Calibri" w:cs="Calibri" w:eastAsia="Calibri" w:hAnsi="Calibri"/>
          <w:b/>
          <w:bCs/>
          <w:color w:val="14161B"/>
          <w:sz w:val="20"/>
          <w:szCs w:val="20"/>
        </w:rPr>
        <w:t xml:space="preserve">Identify related parties at onboarding</w:t>
      </w:r>
    </w:p>
    <w:p>
      <w:pPr>
        <w:spacing w:after="60" w:line="264"/>
        <w:jc w:val="both"/>
      </w:pPr>
      <w:r>
        <w:rPr>
          <w:rFonts w:ascii="Calibri" w:cs="Calibri" w:eastAsia="Calibri" w:hAnsi="Calibri"/>
          <w:sz w:val="19"/>
          <w:szCs w:val="19"/>
        </w:rPr>
        <w:t xml:space="preserve">Buying from a company owned by the founder, a director or a relative is a related party transaction. It is permitted but must be at market value, documented, and approved with the interested party abstaining. Owner-managed businesses miss this constantly and it is among the first things examined.</w:t>
      </w:r>
    </w:p>
    <w:p>
      <w:pPr>
        <w:keepNext/>
        <w:spacing w:after="40" w:before="140"/>
      </w:pPr>
      <w:r>
        <w:rPr>
          <w:rFonts w:ascii="Calibri" w:cs="Calibri" w:eastAsia="Calibri" w:hAnsi="Calibri"/>
          <w:b/>
          <w:bCs/>
          <w:color w:val="14161B"/>
          <w:sz w:val="20"/>
          <w:szCs w:val="20"/>
        </w:rPr>
        <w:t xml:space="preserve">Re-test related party pricing annually</w:t>
      </w:r>
    </w:p>
    <w:p>
      <w:pPr>
        <w:spacing w:after="60" w:line="264"/>
        <w:jc w:val="both"/>
      </w:pPr>
      <w:r>
        <w:rPr>
          <w:rFonts w:ascii="Calibri" w:cs="Calibri" w:eastAsia="Calibri" w:hAnsi="Calibri"/>
          <w:sz w:val="19"/>
          <w:szCs w:val="19"/>
        </w:rPr>
        <w:t xml:space="preserve">A rate that was market when the arrangement started drifts. An annual comparison against market evidence is what defends the deduction, and it is far easier than reconstructing the justification years later.</w:t>
      </w:r>
    </w:p>
    <w:p>
      <w:pPr>
        <w:keepNext/>
        <w:spacing w:after="40" w:before="140"/>
      </w:pPr>
      <w:r>
        <w:rPr>
          <w:rFonts w:ascii="Calibri" w:cs="Calibri" w:eastAsia="Calibri" w:hAnsi="Calibri"/>
          <w:b/>
          <w:bCs/>
          <w:color w:val="14161B"/>
          <w:sz w:val="20"/>
          <w:szCs w:val="20"/>
        </w:rPr>
        <w:t xml:space="preserve">Verify bank detail changes by call-back to a number you hold</w:t>
      </w:r>
    </w:p>
    <w:p>
      <w:pPr>
        <w:spacing w:after="60" w:line="264"/>
        <w:jc w:val="both"/>
      </w:pPr>
      <w:r>
        <w:rPr>
          <w:rFonts w:ascii="Calibri" w:cs="Calibri" w:eastAsia="Calibri" w:hAnsi="Calibri"/>
          <w:sz w:val="19"/>
          <w:szCs w:val="19"/>
        </w:rPr>
        <w:t xml:space="preserve">The dominant payment fraud in this market is an email changing account details on a genuine invoice. The number on the changed invoice belongs to whoever sent it. This single control prevents most of the loss.</w:t>
      </w:r>
    </w:p>
    <w:p>
      <w:pPr>
        <w:keepNext/>
        <w:spacing w:after="40" w:before="140"/>
      </w:pPr>
      <w:r>
        <w:rPr>
          <w:rFonts w:ascii="Calibri" w:cs="Calibri" w:eastAsia="Calibri" w:hAnsi="Calibri"/>
          <w:b/>
          <w:bCs/>
          <w:color w:val="14161B"/>
          <w:sz w:val="20"/>
          <w:szCs w:val="20"/>
        </w:rPr>
        <w:t xml:space="preserve">Split beneficiary set-up between two people</w:t>
      </w:r>
    </w:p>
    <w:p>
      <w:pPr>
        <w:spacing w:after="60" w:line="264"/>
        <w:jc w:val="both"/>
      </w:pPr>
      <w:r>
        <w:rPr>
          <w:rFonts w:ascii="Calibri" w:cs="Calibri" w:eastAsia="Calibri" w:hAnsi="Calibri"/>
          <w:sz w:val="19"/>
          <w:szCs w:val="19"/>
        </w:rPr>
        <w:t xml:space="preserve">One person adds a new payee, a different person approves. Combined with call-back verification, it is the most effective and cheapest control available against payment fraud.</w:t>
      </w:r>
    </w:p>
    <w:p>
      <w:pPr>
        <w:keepNext/>
        <w:spacing w:after="40" w:before="140"/>
      </w:pPr>
      <w:r>
        <w:rPr>
          <w:rFonts w:ascii="Calibri" w:cs="Calibri" w:eastAsia="Calibri" w:hAnsi="Calibri"/>
          <w:b/>
          <w:bCs/>
          <w:color w:val="14161B"/>
          <w:sz w:val="20"/>
          <w:szCs w:val="20"/>
        </w:rPr>
        <w:t xml:space="preserve">A valid tax invoice or no input tax</w:t>
      </w:r>
    </w:p>
    <w:p>
      <w:pPr>
        <w:spacing w:after="60" w:line="264"/>
        <w:jc w:val="both"/>
      </w:pPr>
      <w:r>
        <w:rPr>
          <w:rFonts w:ascii="Calibri" w:cs="Calibri" w:eastAsia="Calibri" w:hAnsi="Calibri"/>
          <w:sz w:val="19"/>
          <w:szCs w:val="19"/>
        </w:rPr>
        <w:t xml:space="preserve">Recovery requires the supplier’s TRN, the VAT amount in dirhams and the other required particulars. A card slip or a simple bill is not enough, and the VAT is lost permanently. Check at receipt, not at the VAT return.</w:t>
      </w:r>
    </w:p>
    <w:p>
      <w:pPr>
        <w:keepNext/>
        <w:spacing w:after="40" w:before="140"/>
      </w:pPr>
      <w:r>
        <w:rPr>
          <w:rFonts w:ascii="Calibri" w:cs="Calibri" w:eastAsia="Calibri" w:hAnsi="Calibri"/>
          <w:b/>
          <w:bCs/>
          <w:color w:val="14161B"/>
          <w:sz w:val="20"/>
          <w:szCs w:val="20"/>
        </w:rPr>
        <w:t xml:space="preserve">Account for reverse charge on imported services</w:t>
      </w:r>
    </w:p>
    <w:p>
      <w:pPr>
        <w:spacing w:after="60" w:line="264"/>
        <w:jc w:val="both"/>
      </w:pPr>
      <w:r>
        <w:rPr>
          <w:rFonts w:ascii="Calibri" w:cs="Calibri" w:eastAsia="Calibri" w:hAnsi="Calibri"/>
          <w:sz w:val="19"/>
          <w:szCs w:val="19"/>
        </w:rPr>
        <w:t xml:space="preserve">Where services are bought from outside the UAE, the buyer accounts for the VAT itself. This is the most commonly missed VAT item in any UAE business and it repeats every period until found.</w:t>
      </w:r>
    </w:p>
    <w:p>
      <w:pPr>
        <w:keepNext/>
        <w:spacing w:after="40" w:before="140"/>
      </w:pPr>
      <w:r>
        <w:rPr>
          <w:rFonts w:ascii="Calibri" w:cs="Calibri" w:eastAsia="Calibri" w:hAnsi="Calibri"/>
          <w:b/>
          <w:bCs/>
          <w:color w:val="14161B"/>
          <w:sz w:val="20"/>
          <w:szCs w:val="20"/>
        </w:rPr>
        <w:t xml:space="preserve">Check individual suppliers hold a permit</w:t>
      </w:r>
    </w:p>
    <w:p>
      <w:pPr>
        <w:spacing w:after="60" w:line="264"/>
        <w:jc w:val="both"/>
      </w:pPr>
      <w:r>
        <w:rPr>
          <w:rFonts w:ascii="Calibri" w:cs="Calibri" w:eastAsia="Calibri" w:hAnsi="Calibri"/>
          <w:sz w:val="19"/>
          <w:szCs w:val="19"/>
        </w:rPr>
        <w:t xml:space="preserve">A person invoicing you for services needs a freelance permit, a Green Visa arrangement or a company licence. Engaging someone without one exposes the buyer as well as the individual. Ask for the document.</w:t>
      </w:r>
    </w:p>
    <w:p>
      <w:pPr>
        <w:keepNext/>
        <w:spacing w:after="40" w:before="140"/>
      </w:pPr>
      <w:r>
        <w:rPr>
          <w:rFonts w:ascii="Calibri" w:cs="Calibri" w:eastAsia="Calibri" w:hAnsi="Calibri"/>
          <w:b/>
          <w:bCs/>
          <w:color w:val="14161B"/>
          <w:sz w:val="20"/>
          <w:szCs w:val="20"/>
        </w:rPr>
        <w:t xml:space="preserve">Three-way match before paying</w:t>
      </w:r>
    </w:p>
    <w:p>
      <w:pPr>
        <w:spacing w:after="60" w:line="264"/>
        <w:jc w:val="both"/>
      </w:pPr>
      <w:r>
        <w:rPr>
          <w:rFonts w:ascii="Calibri" w:cs="Calibri" w:eastAsia="Calibri" w:hAnsi="Calibri"/>
          <w:sz w:val="19"/>
          <w:szCs w:val="19"/>
        </w:rPr>
        <w:t xml:space="preserve">Order, receipt and invoice. Unmatched payments are where both fraud and simple error hide, and the discipline costs nothing once it is routine.</w:t>
      </w:r>
    </w:p>
    <w:p>
      <w:pPr>
        <w:keepNext/>
        <w:spacing w:after="40" w:before="140"/>
      </w:pPr>
      <w:r>
        <w:rPr>
          <w:rFonts w:ascii="Calibri" w:cs="Calibri" w:eastAsia="Calibri" w:hAnsi="Calibri"/>
          <w:b/>
          <w:bCs/>
          <w:color w:val="14161B"/>
          <w:sz w:val="20"/>
          <w:szCs w:val="20"/>
        </w:rPr>
        <w:t xml:space="preserve">Record why quotes were not obtained</w:t>
      </w:r>
    </w:p>
    <w:p>
      <w:pPr>
        <w:spacing w:after="60" w:line="264"/>
        <w:jc w:val="both"/>
      </w:pPr>
      <w:r>
        <w:rPr>
          <w:rFonts w:ascii="Calibri" w:cs="Calibri" w:eastAsia="Calibri" w:hAnsi="Calibri"/>
          <w:sz w:val="19"/>
          <w:szCs w:val="19"/>
        </w:rPr>
        <w:t xml:space="preserve">Sole source, urgency and technical necessity are legitimate reasons to skip a competitive process. Skipping it silently is what looks wrong later. Record the reason at the time.</w:t>
      </w:r>
    </w:p>
    <w:p>
      <w:pPr>
        <w:keepNext/>
        <w:spacing w:after="40" w:before="140"/>
      </w:pPr>
      <w:r>
        <w:rPr>
          <w:rFonts w:ascii="Calibri" w:cs="Calibri" w:eastAsia="Calibri" w:hAnsi="Calibri"/>
          <w:b/>
          <w:bCs/>
          <w:color w:val="14161B"/>
          <w:sz w:val="20"/>
          <w:szCs w:val="20"/>
        </w:rPr>
        <w:t xml:space="preserve">Nobody approves their own purchase</w:t>
      </w:r>
    </w:p>
    <w:p>
      <w:pPr>
        <w:spacing w:after="60" w:line="264"/>
        <w:jc w:val="both"/>
      </w:pPr>
      <w:r>
        <w:rPr>
          <w:rFonts w:ascii="Calibri" w:cs="Calibri" w:eastAsia="Calibri" w:hAnsi="Calibri"/>
          <w:sz w:val="19"/>
          <w:szCs w:val="19"/>
        </w:rPr>
        <w:t xml:space="preserve">And nobody’s purchase is approved by someone who reports to them. Where the buyer is the most senior person, nominate a second approver — self-approval at the top is the most common control gap in owner-managed companies.</w:t>
      </w:r>
    </w:p>
    <w:p>
      <w:pPr>
        <w:keepNext/>
        <w:spacing w:after="40" w:before="140"/>
      </w:pPr>
      <w:r>
        <w:rPr>
          <w:rFonts w:ascii="Calibri" w:cs="Calibri" w:eastAsia="Calibri" w:hAnsi="Calibri"/>
          <w:b/>
          <w:bCs/>
          <w:color w:val="14161B"/>
          <w:sz w:val="20"/>
          <w:szCs w:val="20"/>
        </w:rPr>
        <w:t xml:space="preserve">Diarise notice dates, not expiry dates</w:t>
      </w:r>
    </w:p>
    <w:p>
      <w:pPr>
        <w:spacing w:after="60" w:line="264"/>
        <w:jc w:val="both"/>
      </w:pPr>
      <w:r>
        <w:rPr>
          <w:rFonts w:ascii="Calibri" w:cs="Calibri" w:eastAsia="Calibri" w:hAnsi="Calibri"/>
          <w:sz w:val="19"/>
          <w:szCs w:val="19"/>
        </w:rPr>
        <w:t xml:space="preserve">Auto-renewing contracts with long notice periods are where procurement loses control. By the expiry date the renewal has already happened. Diarise the last date to give notice.</w:t>
      </w:r>
    </w:p>
    <w:p>
      <w:pPr>
        <w:keepNext/>
        <w:spacing w:after="40" w:before="140"/>
      </w:pPr>
      <w:r>
        <w:rPr>
          <w:rFonts w:ascii="Calibri" w:cs="Calibri" w:eastAsia="Calibri" w:hAnsi="Calibri"/>
          <w:b/>
          <w:bCs/>
          <w:color w:val="14161B"/>
          <w:sz w:val="20"/>
          <w:szCs w:val="20"/>
        </w:rPr>
        <w:t xml:space="preserve">Screen for sanctions on an ongoing basis</w:t>
      </w:r>
    </w:p>
    <w:p>
      <w:pPr>
        <w:spacing w:after="60" w:line="264"/>
        <w:jc w:val="both"/>
      </w:pPr>
      <w:r>
        <w:rPr>
          <w:rFonts w:ascii="Calibri" w:cs="Calibri" w:eastAsia="Calibri" w:hAnsi="Calibri"/>
          <w:sz w:val="19"/>
          <w:szCs w:val="19"/>
        </w:rPr>
        <w:t xml:space="preserve">Lists change and suppliers change ownership. Screening only at onboarding is a snapshot; periodic rescreening catches the supplier that became a problem after the relationship started.</w:t>
      </w:r>
    </w:p>
    <w:p>
      <w:pPr>
        <w:keepNext/>
        <w:spacing w:after="40" w:before="140"/>
      </w:pPr>
      <w:r>
        <w:rPr>
          <w:rFonts w:ascii="Calibri" w:cs="Calibri" w:eastAsia="Calibri" w:hAnsi="Calibri"/>
          <w:b/>
          <w:bCs/>
          <w:color w:val="14161B"/>
          <w:sz w:val="20"/>
          <w:szCs w:val="20"/>
        </w:rPr>
        <w:t xml:space="preserve">Get a processing agreement where personal data is involved</w:t>
      </w:r>
    </w:p>
    <w:p>
      <w:pPr>
        <w:spacing w:after="60" w:line="264"/>
        <w:jc w:val="both"/>
      </w:pPr>
      <w:r>
        <w:rPr>
          <w:rFonts w:ascii="Calibri" w:cs="Calibri" w:eastAsia="Calibri" w:hAnsi="Calibri"/>
          <w:sz w:val="19"/>
          <w:szCs w:val="19"/>
        </w:rPr>
        <w:t xml:space="preserve">Payroll bureaux, HR platforms, IT providers and marketing agencies all handle personal data on your behalf. The written terms are required, and where the parties sit in different UAE regimes the transfer position needs addressing too.</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Tax invoice particulars, reverse charge rules, blocked input tax categories, transfer pricing and connected person provisions, freelance permit requirements and data protection regimes all change — confirm the current position with the Federal Tax Authority or a UAE adviser.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2026-08-23T16:28:32.949Z</dcterms:created>
  <dcterms:modified xsi:type="dcterms:W3CDTF">2026-08-23T16:28:32.949Z</dcterms:modified>
</cp:coreProperties>
</file>

<file path=docProps/custom.xml><?xml version="1.0" encoding="utf-8"?>
<Properties xmlns="http://schemas.openxmlformats.org/officeDocument/2006/custom-properties" xmlns:vt="http://schemas.openxmlformats.org/officeDocument/2006/docPropsVTypes"/>
</file>