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POWER OF ATTORNEY</w:t>
      </w:r>
    </w:p>
    <w:p>
      <w:pPr>
        <w:spacing w:after="260"/>
        <w:jc w:val="center"/>
      </w:pPr>
      <w:r>
        <w:rPr>
          <w:rFonts w:ascii="Calibri" w:cs="Calibri" w:eastAsia="Calibri" w:hAnsi="Calibri"/>
          <w:i/>
          <w:iCs/>
          <w:color w:val="6E7480"/>
          <w:sz w:val="19"/>
          <w:szCs w:val="19"/>
        </w:rPr>
        <w:t xml:space="preserve">Notarisation, attestation and scope</w:t>
      </w:r>
    </w:p>
    <w:p>
      <w:pPr>
        <w:spacing w:after="180" w:before="0" w:line="276"/>
        <w:jc w:val="both"/>
      </w:pPr>
      <w:r>
        <w:rPr>
          <w:rFonts w:ascii="Calibri" w:cs="Calibri" w:eastAsia="Calibri" w:hAnsi="Calibri"/>
          <w:i/>
          <w:iCs/>
          <w:color w:val="6E7480"/>
          <w:sz w:val="21"/>
          <w:szCs w:val="21"/>
        </w:rPr>
        <w:t xml:space="preserve">A UAE power of attorney is only as good as its </w:t>
      </w:r>
      <w:r>
        <w:rPr>
          <w:rFonts w:ascii="Calibri" w:cs="Calibri" w:eastAsia="Calibri" w:hAnsi="Calibri"/>
          <w:b/>
          <w:bCs/>
          <w:i/>
          <w:iCs/>
          <w:color w:val="6E7480"/>
          <w:sz w:val="21"/>
          <w:szCs w:val="21"/>
        </w:rPr>
        <w:t xml:space="preserve">formalities</w:t>
      </w:r>
      <w:r>
        <w:rPr>
          <w:rFonts w:ascii="Calibri" w:cs="Calibri" w:eastAsia="Calibri" w:hAnsi="Calibri"/>
          <w:i/>
          <w:iCs/>
          <w:color w:val="6E7480"/>
          <w:sz w:val="21"/>
          <w:szCs w:val="21"/>
        </w:rPr>
        <w:t xml:space="preserve">. It must be notarised, it must be in Arabic to be accepted onshore, and if executed abroad it must be notarised, legalised through the UAE embassy and attested by the Ministry of Foreign Affairs. That chain takes weeks and is the usual reason a transaction stalls.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Principal</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[passport / Emirates ID]</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[Where corporate]</w:t>
            </w:r>
            <w:r>
              <w:rPr>
                <w:rFonts w:ascii="Calibri" w:cs="Calibri" w:eastAsia="Calibri" w:hAnsi="Calibri"/>
                <w:sz w:val="19"/>
                <w:szCs w:val="19"/>
              </w:rPr>
              <w:t xml:space="preserve"> Company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Attorney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[passport / Emirates ID]</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Type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[Specific — named acts / General — broad]</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Purpose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PRECISELY]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  Expires: </w:t>
            </w:r>
            <w:r>
              <w:rPr>
                <w:rFonts w:ascii="Calibri" w:cs="Calibri" w:eastAsia="Calibri" w:hAnsi="Calibri"/>
                <w:b/>
                <w:bCs/>
                <w:sz w:val="19"/>
                <w:szCs w:val="19"/>
              </w:rPr>
              <w:t xml:space="preserve">[DATE or on completion]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Executed where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 the UAE before a notary / Abroad — see Section 4]</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Notarised 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  Reference: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[If abroad]</w:t>
            </w:r>
            <w:r>
              <w:rPr>
                <w:rFonts w:ascii="Calibri" w:cs="Calibri" w:eastAsia="Calibri" w:hAnsi="Calibri"/>
                <w:sz w:val="19"/>
                <w:szCs w:val="19"/>
              </w:rPr>
              <w:t xml:space="preserve"> Legalised and attested 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Arabic version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[Prepared by a licensed legal translator on ______]</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Copies issued to</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 — needed for revocation]</w:t>
            </w:r>
          </w:p>
        </w:tc>
      </w:tr>
    </w:tbl>
    <w:p>
      <w:pPr>
        <w:spacing w:after="180"/>
      </w:pPr>
    </w:p>
    <w:p>
      <w:pPr>
        <w:keepNext/>
        <w:spacing w:after="120" w:before="280"/>
        <w:outlineLvl w:val="0"/>
      </w:pPr>
      <w:r>
        <w:rPr>
          <w:rFonts w:ascii="Calibri" w:cs="Calibri" w:eastAsia="Calibri" w:hAnsi="Calibri"/>
          <w:b/>
          <w:bCs/>
          <w:color w:val="14161B"/>
          <w:sz w:val="22"/>
          <w:szCs w:val="22"/>
        </w:rPr>
        <w:t xml:space="preserve">1. WHICH TYPE YOU NEED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2505"/>
        <w:gridCol w:w="4242"/>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Situation</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Use</w:t>
            </w:r>
          </w:p>
        </w:tc>
        <w:tc>
          <w:tcPr>
            <w:tcW w:type="dxa" w:w="42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named transaction while the principal is abroad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Specific POA</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safest form — narrow and time-limited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formation or a share transfer</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Specific POA</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Notary will require the parties or their attorneys present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Managing a company’s affairs generally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General POA</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Very wide — use only where genuinely needed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Property purchase, sale or mortgage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Specific POA naming the property</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Land department requirements are strict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Court proceedings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Litigation POA</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distinct form; a general POA is often refused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Banking operations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[Bank’s own mandate]</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Banks usually require their own form, not a POA</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Day-to-day internal authority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a POA]</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board or manager delegation is the right instrument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Sponsoring or cancelling visas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Specific POA or PRO authorisation</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what the authority accepts</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Granting a general power because it seemed simpler than drafting a specific one is how principals lose control of assets. Draft to the purpose and nothing wider.</w:t>
      </w:r>
    </w:p>
    <w:p>
      <w:pPr>
        <w:keepNext/>
        <w:spacing w:after="120" w:before="280"/>
        <w:outlineLvl w:val="0"/>
      </w:pPr>
      <w:r>
        <w:rPr>
          <w:rFonts w:ascii="Calibri" w:cs="Calibri" w:eastAsia="Calibri" w:hAnsi="Calibri"/>
          <w:b/>
          <w:bCs/>
          <w:color w:val="14161B"/>
          <w:sz w:val="22"/>
          <w:szCs w:val="22"/>
        </w:rPr>
        <w:t xml:space="preserve">2. POWERS GRANTED</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Principal appoints </w:t>
      </w:r>
      <w:r>
        <w:rPr>
          <w:rFonts w:ascii="Calibri" w:cs="Calibri" w:eastAsia="Calibri" w:hAnsi="Calibri"/>
          <w:b/>
          <w:bCs/>
          <w:sz w:val="21"/>
          <w:szCs w:val="21"/>
        </w:rPr>
        <w:t xml:space="preserve">[ATTORNEY NAME]</w:t>
      </w:r>
      <w:r>
        <w:rPr>
          <w:rFonts w:ascii="Calibri" w:cs="Calibri" w:eastAsia="Calibri" w:hAnsi="Calibri"/>
          <w:sz w:val="21"/>
          <w:szCs w:val="21"/>
        </w:rPr>
        <w:t xml:space="preserve"> to act on the Principal’s behalf in respect of the following, and nothing else: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[THE SPECIFIC ACT — for example: to execute the memorandum of association and all documents required to incorporate ______ before the Department of Economic Development of ______]</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[FURTHER SPECIFIC ACT]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to sign, submit and receive all documents reasonably required to give effect to the above;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to represent the Principal before </w:t>
      </w:r>
      <w:r>
        <w:rPr>
          <w:rFonts w:ascii="Calibri" w:cs="Calibri" w:eastAsia="Calibri" w:hAnsi="Calibri"/>
          <w:b/>
          <w:bCs/>
          <w:sz w:val="21"/>
          <w:szCs w:val="21"/>
        </w:rPr>
        <w:t xml:space="preserve">[THE NAMED AUTHORITY]</w:t>
      </w:r>
      <w:r>
        <w:rPr>
          <w:rFonts w:ascii="Calibri" w:cs="Calibri" w:eastAsia="Calibri" w:hAnsi="Calibri"/>
          <w:sz w:val="21"/>
          <w:szCs w:val="21"/>
        </w:rPr>
        <w:t xml:space="preserve"> in connection with the above.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The Attorney is NOT authorised to:</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sell, mortgage or otherwise dispose of any asset of the Principal, except as expressly stated above;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borrow, or grant any security or guarantee, in the Principal’s name;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transfer anything to the Attorney or to a person connected with the Attorney;</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make gifts;</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delegate or appoint a substitute attorney; or</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act after the expiry or revocation of this power.</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Attorney shall act in good faith and in the Principal’s interests, keep proper records, keep the Principal’s money and property separate from their own, and account to the Principal on request.</w:t>
      </w:r>
    </w:p>
    <w:p>
      <w:pPr>
        <w:keepNext/>
        <w:spacing w:after="120" w:before="280"/>
        <w:outlineLvl w:val="0"/>
      </w:pPr>
      <w:r>
        <w:rPr>
          <w:rFonts w:ascii="Calibri" w:cs="Calibri" w:eastAsia="Calibri" w:hAnsi="Calibri"/>
          <w:b/>
          <w:bCs/>
          <w:color w:val="14161B"/>
          <w:sz w:val="22"/>
          <w:szCs w:val="22"/>
        </w:rPr>
        <w:t xml:space="preserve">3. FORMALITIES IN THE UAE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3469"/>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Draft in </w:t>
            </w:r>
            <w:r>
              <w:rPr>
                <w:rFonts w:ascii="Calibri" w:cs="Calibri" w:eastAsia="Calibri" w:hAnsi="Calibri"/>
                <w:b/>
                <w:bCs/>
                <w:sz w:val="17"/>
                <w:szCs w:val="17"/>
              </w:rPr>
              <w:t xml:space="preserve">Arabic</w:t>
            </w:r>
            <w:r>
              <w:rPr>
                <w:rFonts w:ascii="Calibri" w:cs="Calibri" w:eastAsia="Calibri" w:hAnsi="Calibri"/>
                <w:sz w:val="17"/>
                <w:szCs w:val="17"/>
              </w:rPr>
              <w:t xml:space="preserve">, or English with a certified Arabic translation</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Arabic is what the notary and authorities work from</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Principal attends the </w:t>
            </w:r>
            <w:r>
              <w:rPr>
                <w:rFonts w:ascii="Calibri" w:cs="Calibri" w:eastAsia="Calibri" w:hAnsi="Calibri"/>
                <w:b/>
                <w:bCs/>
                <w:sz w:val="17"/>
                <w:szCs w:val="17"/>
              </w:rPr>
              <w:t xml:space="preserve">notary public</w:t>
            </w:r>
            <w:r>
              <w:rPr>
                <w:rFonts w:ascii="Calibri" w:cs="Calibri" w:eastAsia="Calibri" w:hAnsi="Calibri"/>
                <w:sz w:val="17"/>
                <w:szCs w:val="17"/>
              </w:rPr>
              <w:t xml:space="preserve"> in person</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 original passport or Emirates ID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[Corporate]</w:t>
            </w:r>
            <w:r>
              <w:rPr>
                <w:rFonts w:ascii="Calibri" w:cs="Calibri" w:eastAsia="Calibri" w:hAnsi="Calibri"/>
                <w:sz w:val="17"/>
                <w:szCs w:val="17"/>
              </w:rPr>
              <w:t xml:space="preserve"> Board resolution authorising the POA</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Notarised; check the constitution permits 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[Corporate]</w:t>
            </w:r>
            <w:r>
              <w:rPr>
                <w:rFonts w:ascii="Calibri" w:cs="Calibri" w:eastAsia="Calibri" w:hAnsi="Calibri"/>
                <w:sz w:val="17"/>
                <w:szCs w:val="17"/>
              </w:rPr>
              <w:t xml:space="preserve"> Trade licence and signatory evidence produced</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Notary executes and registers the POA</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Reference number issued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Certified copies obtained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 each party who will need one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Register of copies issued opened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Essential for effective revocation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Expiry diarised</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EXECUTED OUTSIDE THE UAE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A power of attorney executed abroad must generally be: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notarised</w:t>
      </w:r>
      <w:r>
        <w:rPr>
          <w:rFonts w:ascii="Calibri" w:cs="Calibri" w:eastAsia="Calibri" w:hAnsi="Calibri"/>
          <w:sz w:val="21"/>
          <w:szCs w:val="21"/>
        </w:rPr>
        <w:t xml:space="preserve"> before a notary in the country of execution;</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attested</w:t>
      </w:r>
      <w:r>
        <w:rPr>
          <w:rFonts w:ascii="Calibri" w:cs="Calibri" w:eastAsia="Calibri" w:hAnsi="Calibri"/>
          <w:sz w:val="21"/>
          <w:szCs w:val="21"/>
        </w:rPr>
        <w:t xml:space="preserve"> by the relevant authority in that country, commonly the foreign ministry;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legalised</w:t>
      </w:r>
      <w:r>
        <w:rPr>
          <w:rFonts w:ascii="Calibri" w:cs="Calibri" w:eastAsia="Calibri" w:hAnsi="Calibri"/>
          <w:sz w:val="21"/>
          <w:szCs w:val="21"/>
        </w:rPr>
        <w:t xml:space="preserve"> by the UAE embassy or consulate in that country;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b/>
          <w:bCs/>
          <w:sz w:val="21"/>
          <w:szCs w:val="21"/>
        </w:rPr>
        <w:t xml:space="preserve">attested</w:t>
      </w:r>
      <w:r>
        <w:rPr>
          <w:rFonts w:ascii="Calibri" w:cs="Calibri" w:eastAsia="Calibri" w:hAnsi="Calibri"/>
          <w:sz w:val="21"/>
          <w:szCs w:val="21"/>
        </w:rPr>
        <w:t xml:space="preserve"> by the UAE Ministry of Foreign Affairs on arrival.</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It must then be </w:t>
      </w:r>
      <w:r>
        <w:rPr>
          <w:rFonts w:ascii="Calibri" w:cs="Calibri" w:eastAsia="Calibri" w:hAnsi="Calibri"/>
          <w:b/>
          <w:bCs/>
          <w:sz w:val="21"/>
          <w:szCs w:val="21"/>
        </w:rPr>
        <w:t xml:space="preserve">translated into Arabic by a licensed legal translator</w:t>
      </w:r>
      <w:r>
        <w:rPr>
          <w:rFonts w:ascii="Calibri" w:cs="Calibri" w:eastAsia="Calibri" w:hAnsi="Calibri"/>
          <w:sz w:val="21"/>
          <w:szCs w:val="21"/>
        </w:rPr>
        <w:t xml:space="preserve"> and the translation attested.</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i/>
          <w:iCs/>
          <w:sz w:val="21"/>
          <w:szCs w:val="21"/>
        </w:rPr>
        <w:t xml:space="preserve">This chain routinely takes three to six weeks. It is the single most common cause of a delayed incorporation, share transfer or property transaction involving an overseas party — start it before anything else.</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i/>
          <w:iCs/>
          <w:sz w:val="21"/>
          <w:szCs w:val="21"/>
        </w:rPr>
        <w:t xml:space="preserve">Apostille arrangements may simplify the chain depending on the country of execution. Confirm the current position for the specific country before assuming either route.</w:t>
      </w:r>
    </w:p>
    <w:p>
      <w:pPr>
        <w:keepNext/>
        <w:spacing w:after="120" w:before="280"/>
        <w:outlineLvl w:val="0"/>
      </w:pPr>
      <w:r>
        <w:rPr>
          <w:rFonts w:ascii="Calibri" w:cs="Calibri" w:eastAsia="Calibri" w:hAnsi="Calibri"/>
          <w:b/>
          <w:bCs/>
          <w:color w:val="14161B"/>
          <w:sz w:val="22"/>
          <w:szCs w:val="22"/>
        </w:rPr>
        <w:t xml:space="preserve">5. DURATION AND REVOCATION</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This power takes effect on </w:t>
      </w:r>
      <w:r>
        <w:rPr>
          <w:rFonts w:ascii="Calibri" w:cs="Calibri" w:eastAsia="Calibri" w:hAnsi="Calibri"/>
          <w:b/>
          <w:bCs/>
          <w:sz w:val="21"/>
          <w:szCs w:val="21"/>
        </w:rPr>
        <w:t xml:space="preserve">[DATE]</w:t>
      </w:r>
      <w:r>
        <w:rPr>
          <w:rFonts w:ascii="Calibri" w:cs="Calibri" w:eastAsia="Calibri" w:hAnsi="Calibri"/>
          <w:sz w:val="21"/>
          <w:szCs w:val="21"/>
        </w:rPr>
        <w:t xml:space="preserve"> and expires on the earlier of </w:t>
      </w:r>
      <w:r>
        <w:rPr>
          <w:rFonts w:ascii="Calibri" w:cs="Calibri" w:eastAsia="Calibri" w:hAnsi="Calibri"/>
          <w:b/>
          <w:bCs/>
          <w:sz w:val="21"/>
          <w:szCs w:val="21"/>
        </w:rPr>
        <w:t xml:space="preserve">[DATE]</w:t>
      </w:r>
      <w:r>
        <w:rPr>
          <w:rFonts w:ascii="Calibri" w:cs="Calibri" w:eastAsia="Calibri" w:hAnsi="Calibri"/>
          <w:sz w:val="21"/>
          <w:szCs w:val="21"/>
        </w:rPr>
        <w:t xml:space="preserve">, completion of the stated purpose, and revocation.</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Principal may revoke at any time. </w:t>
      </w:r>
      <w:r>
        <w:rPr>
          <w:rFonts w:ascii="Calibri" w:cs="Calibri" w:eastAsia="Calibri" w:hAnsi="Calibri"/>
          <w:b/>
          <w:bCs/>
          <w:sz w:val="21"/>
          <w:szCs w:val="21"/>
        </w:rPr>
        <w:t xml:space="preserve">Revocation should be effected before a notary</w:t>
      </w:r>
      <w:r>
        <w:rPr>
          <w:rFonts w:ascii="Calibri" w:cs="Calibri" w:eastAsia="Calibri" w:hAnsi="Calibri"/>
          <w:sz w:val="21"/>
          <w:szCs w:val="21"/>
        </w:rPr>
        <w:t xml:space="preserve"> and notified to every person holding a copy.</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This power is revoked by the Principal’s death or loss of capacity, and where the Principal is a company, by its dissolution.</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b/>
          <w:bCs/>
          <w:sz w:val="21"/>
          <w:szCs w:val="21"/>
        </w:rPr>
        <w:t xml:space="preserve">A third party dealing with the Attorney in good faith and without notice of revocation may still rely on the power.</w:t>
      </w:r>
      <w:r>
        <w:rPr>
          <w:rFonts w:ascii="Calibri" w:cs="Calibri" w:eastAsia="Calibri" w:hAnsi="Calibri"/>
          <w:sz w:val="21"/>
          <w:szCs w:val="21"/>
        </w:rPr>
        <w:t xml:space="preserve"> Revocation as against the Attorney alone is not enough.</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i/>
          <w:iCs/>
          <w:sz w:val="21"/>
          <w:szCs w:val="21"/>
        </w:rPr>
        <w:t xml:space="preserve">This is why the register of copies matters. A power granted for a single transaction three years ago, with copies sitting at a bank and a government office, is a live instrument until those holders are told it is not.</w:t>
      </w:r>
    </w:p>
    <w:p>
      <w:pPr>
        <w:keepNext/>
        <w:spacing w:after="120" w:before="280"/>
        <w:outlineLvl w:val="0"/>
      </w:pPr>
      <w:r>
        <w:rPr>
          <w:rFonts w:ascii="Calibri" w:cs="Calibri" w:eastAsia="Calibri" w:hAnsi="Calibri"/>
          <w:b/>
          <w:bCs/>
          <w:color w:val="14161B"/>
          <w:sz w:val="22"/>
          <w:szCs w:val="22"/>
        </w:rPr>
        <w:t xml:space="preserve">6. REVOCATION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Deed or instrument of revocation executed before a notary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Attorney notified in writing and acknowledgement obtained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Original and all certified copies recovered where possible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Every copy holder notified</w:t>
            </w:r>
            <w:r>
              <w:rPr>
                <w:rFonts w:ascii="Calibri" w:cs="Calibri" w:eastAsia="Calibri" w:hAnsi="Calibri"/>
                <w:sz w:val="18"/>
                <w:szCs w:val="18"/>
              </w:rPr>
              <w:t xml:space="preserve"> — banks, authorities, counterparties, advisers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Notary or registry records updated where applicable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Attorney removed from any bank mandate or system access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copies closed and retained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7. REGISTER OF COPIES ISSUED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505"/>
        <w:gridCol w:w="2313"/>
        <w:gridCol w:w="1445"/>
        <w:gridCol w:w="1349"/>
        <w:gridCol w:w="1545"/>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Copy issued to</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Purpose</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 issued</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Returned</w:t>
            </w:r>
          </w:p>
        </w:tc>
        <w:tc>
          <w:tcPr>
            <w:tcW w:type="dxa" w:w="15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Notified of revocation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 / INSTITUTION]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[PURPOSE]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[PURPOSE]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[PURPOSE]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Principal</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ID: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Before me, Notary Public</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Reference: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Start the attestation chain first, not last</w:t>
      </w:r>
    </w:p>
    <w:p>
      <w:pPr>
        <w:spacing w:after="60" w:line="264"/>
        <w:jc w:val="both"/>
      </w:pPr>
      <w:r>
        <w:rPr>
          <w:rFonts w:ascii="Calibri" w:cs="Calibri" w:eastAsia="Calibri" w:hAnsi="Calibri"/>
          <w:sz w:val="19"/>
          <w:szCs w:val="19"/>
        </w:rPr>
        <w:t xml:space="preserve">A power executed abroad needs notarisation, attestation in that country, legalisation through the UAE embassy, attestation by the Ministry of Foreign Affairs, and then certified Arabic translation. Three to six weeks is normal. This is the most common reason an incorporation or share transfer stalls, and it is entirely predictable.</w:t>
      </w:r>
    </w:p>
    <w:p>
      <w:pPr>
        <w:keepNext/>
        <w:spacing w:after="40" w:before="140"/>
      </w:pPr>
      <w:r>
        <w:rPr>
          <w:rFonts w:ascii="Calibri" w:cs="Calibri" w:eastAsia="Calibri" w:hAnsi="Calibri"/>
          <w:b/>
          <w:bCs/>
          <w:color w:val="14161B"/>
          <w:sz w:val="20"/>
          <w:szCs w:val="20"/>
        </w:rPr>
        <w:t xml:space="preserve">Arabic is what the authorities work from</w:t>
      </w:r>
    </w:p>
    <w:p>
      <w:pPr>
        <w:spacing w:after="60" w:line="264"/>
        <w:jc w:val="both"/>
      </w:pPr>
      <w:r>
        <w:rPr>
          <w:rFonts w:ascii="Calibri" w:cs="Calibri" w:eastAsia="Calibri" w:hAnsi="Calibri"/>
          <w:sz w:val="19"/>
          <w:szCs w:val="19"/>
        </w:rPr>
        <w:t xml:space="preserve">A power of attorney used onshore must be in Arabic, or accompanied by a translation from a licensed legal translator. Drafting in English and translating later is workable; assuming an English document will be accepted is not.</w:t>
      </w:r>
    </w:p>
    <w:p>
      <w:pPr>
        <w:keepNext/>
        <w:spacing w:after="40" w:before="140"/>
      </w:pPr>
      <w:r>
        <w:rPr>
          <w:rFonts w:ascii="Calibri" w:cs="Calibri" w:eastAsia="Calibri" w:hAnsi="Calibri"/>
          <w:b/>
          <w:bCs/>
          <w:color w:val="14161B"/>
          <w:sz w:val="20"/>
          <w:szCs w:val="20"/>
        </w:rPr>
        <w:t xml:space="preserve">Draft to the purpose, never wider</w:t>
      </w:r>
    </w:p>
    <w:p>
      <w:pPr>
        <w:spacing w:after="60" w:line="264"/>
        <w:jc w:val="both"/>
      </w:pPr>
      <w:r>
        <w:rPr>
          <w:rFonts w:ascii="Calibri" w:cs="Calibri" w:eastAsia="Calibri" w:hAnsi="Calibri"/>
          <w:sz w:val="19"/>
          <w:szCs w:val="19"/>
        </w:rPr>
        <w:t xml:space="preserve">A general power granted because it was simpler than drafting a specific one hands over control of everything the principal owns. Where the purpose is to sign one agreement or complete one incorporation, say that and nothing more. Breadth is where the losses happen.</w:t>
      </w:r>
    </w:p>
    <w:p>
      <w:pPr>
        <w:keepNext/>
        <w:spacing w:after="40" w:before="140"/>
      </w:pPr>
      <w:r>
        <w:rPr>
          <w:rFonts w:ascii="Calibri" w:cs="Calibri" w:eastAsia="Calibri" w:hAnsi="Calibri"/>
          <w:b/>
          <w:bCs/>
          <w:color w:val="14161B"/>
          <w:sz w:val="20"/>
          <w:szCs w:val="20"/>
        </w:rPr>
        <w:t xml:space="preserve">State the exclusions expressly</w:t>
      </w:r>
    </w:p>
    <w:p>
      <w:pPr>
        <w:spacing w:after="60" w:line="264"/>
        <w:jc w:val="both"/>
      </w:pPr>
      <w:r>
        <w:rPr>
          <w:rFonts w:ascii="Calibri" w:cs="Calibri" w:eastAsia="Calibri" w:hAnsi="Calibri"/>
          <w:sz w:val="19"/>
          <w:szCs w:val="19"/>
        </w:rPr>
        <w:t xml:space="preserve">Clause 2.2 prohibits disposal, borrowing, self-dealing, gifts and delegation. These are the acts most likely to cause harm and least likely to be contemplated when the power is granted. Naming them removes any argument that a broad power impliedly allowed them.</w:t>
      </w:r>
    </w:p>
    <w:p>
      <w:pPr>
        <w:keepNext/>
        <w:spacing w:after="40" w:before="140"/>
      </w:pPr>
      <w:r>
        <w:rPr>
          <w:rFonts w:ascii="Calibri" w:cs="Calibri" w:eastAsia="Calibri" w:hAnsi="Calibri"/>
          <w:b/>
          <w:bCs/>
          <w:color w:val="14161B"/>
          <w:sz w:val="20"/>
          <w:szCs w:val="20"/>
        </w:rPr>
        <w:t xml:space="preserve">Revocation must reach third parties</w:t>
      </w:r>
    </w:p>
    <w:p>
      <w:pPr>
        <w:spacing w:after="60" w:line="264"/>
        <w:jc w:val="both"/>
      </w:pPr>
      <w:r>
        <w:rPr>
          <w:rFonts w:ascii="Calibri" w:cs="Calibri" w:eastAsia="Calibri" w:hAnsi="Calibri"/>
          <w:sz w:val="19"/>
          <w:szCs w:val="19"/>
        </w:rPr>
        <w:t xml:space="preserve">A third party dealing with the attorney in good faith without notice of revocation may still rely on the power. Telling the attorney is not enough. Every bank, authority and counterparty holding a copy has to be notified, which is impossible without a register.</w:t>
      </w:r>
    </w:p>
    <w:p>
      <w:pPr>
        <w:keepNext/>
        <w:spacing w:after="40" w:before="140"/>
      </w:pPr>
      <w:r>
        <w:rPr>
          <w:rFonts w:ascii="Calibri" w:cs="Calibri" w:eastAsia="Calibri" w:hAnsi="Calibri"/>
          <w:b/>
          <w:bCs/>
          <w:color w:val="14161B"/>
          <w:sz w:val="20"/>
          <w:szCs w:val="20"/>
        </w:rPr>
        <w:t xml:space="preserve">Keep the register of copies from day one</w:t>
      </w:r>
    </w:p>
    <w:p>
      <w:pPr>
        <w:spacing w:after="60" w:line="264"/>
        <w:jc w:val="both"/>
      </w:pPr>
      <w:r>
        <w:rPr>
          <w:rFonts w:ascii="Calibri" w:cs="Calibri" w:eastAsia="Calibri" w:hAnsi="Calibri"/>
          <w:sz w:val="19"/>
          <w:szCs w:val="19"/>
        </w:rPr>
        <w:t xml:space="preserve">Certified copies circulate to banks, registries, government offices and advisers. Without a record of who holds one, effective revocation cannot be done. A simple list maintained from issue solves it, and Section 7 is that list.</w:t>
      </w:r>
    </w:p>
    <w:p>
      <w:pPr>
        <w:keepNext/>
        <w:spacing w:after="40" w:before="140"/>
      </w:pPr>
      <w:r>
        <w:rPr>
          <w:rFonts w:ascii="Calibri" w:cs="Calibri" w:eastAsia="Calibri" w:hAnsi="Calibri"/>
          <w:b/>
          <w:bCs/>
          <w:color w:val="14161B"/>
          <w:sz w:val="20"/>
          <w:szCs w:val="20"/>
        </w:rPr>
        <w:t xml:space="preserve">Different transactions need different forms</w:t>
      </w:r>
    </w:p>
    <w:p>
      <w:pPr>
        <w:spacing w:after="60" w:line="264"/>
        <w:jc w:val="both"/>
      </w:pPr>
      <w:r>
        <w:rPr>
          <w:rFonts w:ascii="Calibri" w:cs="Calibri" w:eastAsia="Calibri" w:hAnsi="Calibri"/>
          <w:sz w:val="19"/>
          <w:szCs w:val="19"/>
        </w:rPr>
        <w:t xml:space="preserve">Property transactions, litigation and company matters each have their own expected form, and a general power is frequently refused where a specific one is required. Ask the receiving authority what it will accept before drafting.</w:t>
      </w:r>
    </w:p>
    <w:p>
      <w:pPr>
        <w:keepNext/>
        <w:spacing w:after="40" w:before="140"/>
      </w:pPr>
      <w:r>
        <w:rPr>
          <w:rFonts w:ascii="Calibri" w:cs="Calibri" w:eastAsia="Calibri" w:hAnsi="Calibri"/>
          <w:b/>
          <w:bCs/>
          <w:color w:val="14161B"/>
          <w:sz w:val="20"/>
          <w:szCs w:val="20"/>
        </w:rPr>
        <w:t xml:space="preserve">Banks usually want their own mandate</w:t>
      </w:r>
    </w:p>
    <w:p>
      <w:pPr>
        <w:spacing w:after="60" w:line="264"/>
        <w:jc w:val="both"/>
      </w:pPr>
      <w:r>
        <w:rPr>
          <w:rFonts w:ascii="Calibri" w:cs="Calibri" w:eastAsia="Calibri" w:hAnsi="Calibri"/>
          <w:sz w:val="19"/>
          <w:szCs w:val="19"/>
        </w:rPr>
        <w:t xml:space="preserve">A power of attorney is generally not the instrument for day-to-day banking. Banks require their own signatory mandate, and presenting a POA instead causes delay. Use the bank’s form for banking and the POA for the transaction.</w:t>
      </w:r>
    </w:p>
    <w:p>
      <w:pPr>
        <w:keepNext/>
        <w:spacing w:after="40" w:before="140"/>
      </w:pPr>
      <w:r>
        <w:rPr>
          <w:rFonts w:ascii="Calibri" w:cs="Calibri" w:eastAsia="Calibri" w:hAnsi="Calibri"/>
          <w:b/>
          <w:bCs/>
          <w:color w:val="14161B"/>
          <w:sz w:val="20"/>
          <w:szCs w:val="20"/>
        </w:rPr>
        <w:t xml:space="preserve">Corporate powers need a board resolution</w:t>
      </w:r>
    </w:p>
    <w:p>
      <w:pPr>
        <w:spacing w:after="60" w:line="264"/>
        <w:jc w:val="both"/>
      </w:pPr>
      <w:r>
        <w:rPr>
          <w:rFonts w:ascii="Calibri" w:cs="Calibri" w:eastAsia="Calibri" w:hAnsi="Calibri"/>
          <w:sz w:val="19"/>
          <w:szCs w:val="19"/>
        </w:rPr>
        <w:t xml:space="preserve">Where a company grants a power, the board must resolve to do so, the constitution must permit it, and the resolution is usually notarised alongside. A power executed without that authority may not bind the company, and counterparties will ask for the resolution.</w:t>
      </w:r>
    </w:p>
    <w:p>
      <w:pPr>
        <w:keepNext/>
        <w:spacing w:after="40" w:before="140"/>
      </w:pPr>
      <w:r>
        <w:rPr>
          <w:rFonts w:ascii="Calibri" w:cs="Calibri" w:eastAsia="Calibri" w:hAnsi="Calibri"/>
          <w:b/>
          <w:bCs/>
          <w:color w:val="14161B"/>
          <w:sz w:val="20"/>
          <w:szCs w:val="20"/>
        </w:rPr>
        <w:t xml:space="preserve">Always put an end date</w:t>
      </w:r>
    </w:p>
    <w:p>
      <w:pPr>
        <w:spacing w:after="60" w:line="264"/>
        <w:jc w:val="both"/>
      </w:pPr>
      <w:r>
        <w:rPr>
          <w:rFonts w:ascii="Calibri" w:cs="Calibri" w:eastAsia="Calibri" w:hAnsi="Calibri"/>
          <w:sz w:val="19"/>
          <w:szCs w:val="19"/>
        </w:rPr>
        <w:t xml:space="preserve">A power with no expiry survives the transaction it was created for and is then forgotten while remaining live. Tie expiry to a date or to completion of the stated purpose, diarise it, and revoke formally even where it has expired by its terms.</w:t>
      </w:r>
    </w:p>
    <w:p>
      <w:pPr>
        <w:keepNext/>
        <w:spacing w:after="40" w:before="140"/>
      </w:pPr>
      <w:r>
        <w:rPr>
          <w:rFonts w:ascii="Calibri" w:cs="Calibri" w:eastAsia="Calibri" w:hAnsi="Calibri"/>
          <w:b/>
          <w:bCs/>
          <w:color w:val="14161B"/>
          <w:sz w:val="20"/>
          <w:szCs w:val="20"/>
        </w:rPr>
        <w:t xml:space="preserve">Capacity and death revoke it automatically</w:t>
      </w:r>
    </w:p>
    <w:p>
      <w:pPr>
        <w:spacing w:after="60" w:line="264"/>
        <w:jc w:val="both"/>
      </w:pPr>
      <w:r>
        <w:rPr>
          <w:rFonts w:ascii="Calibri" w:cs="Calibri" w:eastAsia="Calibri" w:hAnsi="Calibri"/>
          <w:sz w:val="19"/>
          <w:szCs w:val="19"/>
        </w:rPr>
        <w:t xml:space="preserve">The power ends on the principal’s death or loss of capacity, and on dissolution where the principal is a company. Anyone relying on a power should confirm the principal’s status, particularly on long-standing arrangements.</w:t>
      </w:r>
    </w:p>
    <w:p>
      <w:pPr>
        <w:keepNext/>
        <w:spacing w:after="40" w:before="140"/>
      </w:pPr>
      <w:r>
        <w:rPr>
          <w:rFonts w:ascii="Calibri" w:cs="Calibri" w:eastAsia="Calibri" w:hAnsi="Calibri"/>
          <w:b/>
          <w:bCs/>
          <w:color w:val="14161B"/>
          <w:sz w:val="20"/>
          <w:szCs w:val="20"/>
        </w:rPr>
        <w:t xml:space="preserve">Choose the attorney for trustworthiness, not convenience</w:t>
      </w:r>
    </w:p>
    <w:p>
      <w:pPr>
        <w:spacing w:after="60" w:line="264"/>
        <w:jc w:val="both"/>
      </w:pPr>
      <w:r>
        <w:rPr>
          <w:rFonts w:ascii="Calibri" w:cs="Calibri" w:eastAsia="Calibri" w:hAnsi="Calibri"/>
          <w:sz w:val="19"/>
          <w:szCs w:val="19"/>
        </w:rPr>
        <w:t xml:space="preserve">The instrument gives real authority over real assets, and the practical protections are limited once it is in circulation. Choose someone who would act properly if circumstances changed and nobody was watching.</w:t>
      </w:r>
    </w:p>
    <w:p>
      <w:pPr>
        <w:keepNext/>
        <w:spacing w:after="40" w:before="140"/>
      </w:pPr>
      <w:r>
        <w:rPr>
          <w:rFonts w:ascii="Calibri" w:cs="Calibri" w:eastAsia="Calibri" w:hAnsi="Calibri"/>
          <w:b/>
          <w:bCs/>
          <w:color w:val="14161B"/>
          <w:sz w:val="20"/>
          <w:szCs w:val="20"/>
        </w:rPr>
        <w:t xml:space="preserve">Confirm whether an apostille route applies</w:t>
      </w:r>
    </w:p>
    <w:p>
      <w:pPr>
        <w:spacing w:after="60" w:line="264"/>
        <w:jc w:val="both"/>
      </w:pPr>
      <w:r>
        <w:rPr>
          <w:rFonts w:ascii="Calibri" w:cs="Calibri" w:eastAsia="Calibri" w:hAnsi="Calibri"/>
          <w:sz w:val="19"/>
          <w:szCs w:val="19"/>
        </w:rPr>
        <w:t xml:space="preserve">Depending on the country of execution, apostille arrangements may shorten the legalisation chain. The position varies by country and changes. Confirm before committing to the longer embassy route — it can save weeks.</w:t>
      </w:r>
    </w:p>
    <w:p>
      <w:pPr>
        <w:keepNext/>
        <w:spacing w:after="40" w:before="140"/>
      </w:pPr>
      <w:r>
        <w:rPr>
          <w:rFonts w:ascii="Calibri" w:cs="Calibri" w:eastAsia="Calibri" w:hAnsi="Calibri"/>
          <w:b/>
          <w:bCs/>
          <w:color w:val="14161B"/>
          <w:sz w:val="20"/>
          <w:szCs w:val="20"/>
        </w:rPr>
        <w:t xml:space="preserve">This is not a delegation of authority</w:t>
      </w:r>
    </w:p>
    <w:p>
      <w:pPr>
        <w:spacing w:after="60" w:line="264"/>
        <w:jc w:val="both"/>
      </w:pPr>
      <w:r>
        <w:rPr>
          <w:rFonts w:ascii="Calibri" w:cs="Calibri" w:eastAsia="Calibri" w:hAnsi="Calibri"/>
          <w:sz w:val="19"/>
          <w:szCs w:val="19"/>
        </w:rPr>
        <w:t xml:space="preserve">For internal authority — approving expenditure, signing purchase orders, operating within limits — a board or manager delegation is the right tool. A power of attorney is a heavier instrument directed at third parties and authorities.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Notarisation procedures, attestation and legalisation requirements, apostille arrangements, translation requirements and the forms accepted by particular authorities all differ by emirate and country and change — confirm with the receiving authority and take legal advice before granting a power covering assets or substantial transactions.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2026-08-23T16:28:34.373Z</dcterms:created>
  <dcterms:modified xsi:type="dcterms:W3CDTF">2026-08-23T16:28:34.373Z</dcterms:modified>
</cp:coreProperties>
</file>

<file path=docProps/custom.xml><?xml version="1.0" encoding="utf-8"?>
<Properties xmlns="http://schemas.openxmlformats.org/officeDocument/2006/custom-properties" xmlns:vt="http://schemas.openxmlformats.org/officeDocument/2006/docPropsVTypes"/>
</file>