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PERSONAL DATA PROTECTION POLICY</w:t>
      </w:r>
    </w:p>
    <w:p>
      <w:pPr>
        <w:spacing w:after="260"/>
        <w:jc w:val="center"/>
      </w:pPr>
      <w:r>
        <w:rPr>
          <w:rFonts w:ascii="Calibri" w:cs="Calibri" w:eastAsia="Calibri" w:hAnsi="Calibri"/>
          <w:i/>
          <w:iCs/>
          <w:color w:val="6E7480"/>
          <w:sz w:val="19"/>
          <w:szCs w:val="19"/>
        </w:rPr>
        <w:t xml:space="preserve">UAE Federal PDPL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One point must be checked before this policy is adopted. Federal Decree-Law 45/2021 has been in force since January 2022, but the status of its </w:t>
      </w:r>
      <w:r>
        <w:rPr>
          <w:rFonts w:ascii="Calibri" w:cs="Calibri" w:eastAsia="Calibri" w:hAnsi="Calibri"/>
          <w:b/>
          <w:bCs/>
          <w:i/>
          <w:iCs/>
          <w:color w:val="6E7480"/>
          <w:sz w:val="21"/>
          <w:szCs w:val="21"/>
        </w:rPr>
        <w:t xml:space="preserve">Executive Regulations</w:t>
      </w:r>
      <w:r>
        <w:rPr>
          <w:rFonts w:ascii="Calibri" w:cs="Calibri" w:eastAsia="Calibri" w:hAnsi="Calibri"/>
          <w:i/>
          <w:iCs/>
          <w:color w:val="6E7480"/>
          <w:sz w:val="21"/>
          <w:szCs w:val="21"/>
        </w:rPr>
        <w:t xml:space="preserve"> is reported inconsistently by reputable sources — some describe them as issued with a compliance deadline, others as still unpublished. That affects notification periods, breach timelines and registration duties. Verify the current position with the UAE Data Office before relying on any specific deadline in this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trade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 of the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w:t>
            </w:r>
            <w:r>
              <w:rPr>
                <w:rFonts w:ascii="Calibri" w:cs="Calibri" w:eastAsia="Calibri" w:hAnsi="Calibri"/>
                <w:sz w:val="19"/>
                <w:szCs w:val="19"/>
              </w:rPr>
              <w:t xml:space="preserve"> — </w:t>
            </w:r>
            <w:r>
              <w:rPr>
                <w:rFonts w:ascii="Calibri" w:cs="Calibri" w:eastAsia="Calibri" w:hAnsi="Calibri"/>
                <w:i/>
                <w:iCs/>
                <w:sz w:val="19"/>
                <w:szCs w:val="19"/>
              </w:rPr>
              <w:t xml:space="preserve">if DIFC or ADGM, this policy does not apply; use the DIFC or ADGM policy instead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DPO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Executive Regulations status verified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source: </w:t>
            </w:r>
            <w:r>
              <w:rPr>
                <w:rFonts w:ascii="Calibri" w:cs="Calibri" w:eastAsia="Calibri" w:hAnsi="Calibri"/>
                <w:b/>
                <w:bCs/>
                <w:sz w:val="19"/>
                <w:szCs w:val="19"/>
              </w:rPr>
              <w:t xml:space="preserve">[RECORD 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publication of or amendment to the Executive Regulations</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LAW APPLIES TO US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3662"/>
        <w:gridCol w:w="2892"/>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the entity is established</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Governing law</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Regulator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UAE mainland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Decree-Law 45/2021 (PDPL)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without its own data law</w:t>
            </w:r>
            <w:r>
              <w:rPr>
                <w:rFonts w:ascii="Calibri" w:cs="Calibri" w:eastAsia="Calibri" w:hAnsi="Calibri"/>
                <w:sz w:val="18"/>
                <w:szCs w:val="18"/>
              </w:rPr>
              <w:t xml:space="preserve"> (DMCC, JAFZA, RAKEZ, IFZA and others)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DIFC Data Protection Law 5/2020</w:t>
            </w:r>
            <w:r>
              <w:rPr>
                <w:rFonts w:ascii="Calibri" w:cs="Calibri" w:eastAsia="Calibri" w:hAnsi="Calibri"/>
                <w:sz w:val="18"/>
                <w:szCs w:val="18"/>
              </w:rPr>
              <w:t xml:space="preserve">, as amended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Commissioner of Data Protection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ADGM</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ADGM Data Protection Regulations 2021</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 Office of Data Protection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Outside the UAE, processing data of people in the UAE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 applies extraterritorially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Sector-regulated data — health, banking, telecoms, credit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 legislation </w:t>
            </w:r>
            <w:r>
              <w:rPr>
                <w:rFonts w:ascii="Calibri" w:cs="Calibri" w:eastAsia="Calibri" w:hAnsi="Calibri"/>
                <w:b/>
                <w:bCs/>
                <w:sz w:val="18"/>
                <w:szCs w:val="18"/>
              </w:rPr>
              <w:t xml:space="preserve">in addition</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 regulator</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Mapping is per entity and per dataset, not per group. A group with a mainland company, a DMCC entity and a DIFC entity is operating under two regimes at once, and data moving between them is a cross-border transfer for DIFC purposes.</w:t>
      </w:r>
    </w:p>
    <w:p>
      <w:pPr>
        <w:keepNext/>
        <w:spacing w:after="120" w:before="280"/>
        <w:outlineLvl w:val="0"/>
      </w:pPr>
      <w:r>
        <w:rPr>
          <w:rFonts w:ascii="Calibri" w:cs="Calibri" w:eastAsia="Calibri" w:hAnsi="Calibri"/>
          <w:b/>
          <w:bCs/>
          <w:color w:val="14161B"/>
          <w:sz w:val="22"/>
          <w:szCs w:val="22"/>
        </w:rPr>
        <w:t xml:space="preserve">2. SCOPE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policy applies to all personal data the Company collects, uses, discloses, stores or transfers, whether about customers, employees, job applicants, suppliers or any other individual.</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t>
      </w:r>
      <w:r>
        <w:rPr>
          <w:rFonts w:ascii="Calibri" w:cs="Calibri" w:eastAsia="Calibri" w:hAnsi="Calibri"/>
          <w:b/>
          <w:bCs/>
          <w:sz w:val="21"/>
          <w:szCs w:val="21"/>
        </w:rPr>
        <w:t xml:space="preserve">Personal data</w:t>
      </w:r>
      <w:r>
        <w:rPr>
          <w:rFonts w:ascii="Calibri" w:cs="Calibri" w:eastAsia="Calibri" w:hAnsi="Calibri"/>
          <w:sz w:val="21"/>
          <w:szCs w:val="21"/>
        </w:rPr>
        <w:t xml:space="preserve">" means data relating to an identified natural person, or one who can be identified directly or indirectly by reference to identifiers.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t>
      </w:r>
      <w:r>
        <w:rPr>
          <w:rFonts w:ascii="Calibri" w:cs="Calibri" w:eastAsia="Calibri" w:hAnsi="Calibri"/>
          <w:b/>
          <w:bCs/>
          <w:sz w:val="21"/>
          <w:szCs w:val="21"/>
        </w:rPr>
        <w:t xml:space="preserve">Sensitive personal data</w:t>
      </w:r>
      <w:r>
        <w:rPr>
          <w:rFonts w:ascii="Calibri" w:cs="Calibri" w:eastAsia="Calibri" w:hAnsi="Calibri"/>
          <w:sz w:val="21"/>
          <w:szCs w:val="21"/>
        </w:rPr>
        <w:t xml:space="preserve">" includes data revealing racial or ethnic origin, political or philosophical opinions, religious beliefs, criminal records, biometric data, and data relating to health.</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This policy applies to data in any form, including electronic records, paper records, images and recordings, and to data held by third parties on the Company’s behalf.</w:t>
      </w:r>
    </w:p>
    <w:p>
      <w:pPr>
        <w:keepNext/>
        <w:spacing w:after="120" w:before="280"/>
        <w:outlineLvl w:val="0"/>
      </w:pPr>
      <w:r>
        <w:rPr>
          <w:rFonts w:ascii="Calibri" w:cs="Calibri" w:eastAsia="Calibri" w:hAnsi="Calibri"/>
          <w:b/>
          <w:bCs/>
          <w:color w:val="14161B"/>
          <w:sz w:val="22"/>
          <w:szCs w:val="22"/>
        </w:rPr>
        <w:t xml:space="preserve">3. PRINCIPLES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Principle</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requires of us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Lawfulness and fairness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 only on a lawful basis, fairly, transparently and securely</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 limitation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Collect for a specific, clear purpose and do not process incompatibly with it</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minimisation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Collect only what is adequate and necessary for the purpose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Accuracy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Keep data accurate and correct or erase inaccurate data</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Storage limitation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 only as long as the purpose requires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Integrity and confidentiality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technical and organisational measures appropriate to the risk</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Accountability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 able to demonstrate compliance, not merely assert it</w:t>
            </w:r>
          </w:p>
        </w:tc>
      </w:tr>
    </w:tbl>
    <w:p>
      <w:pPr>
        <w:keepNext/>
        <w:spacing w:after="120" w:before="280"/>
        <w:outlineLvl w:val="0"/>
      </w:pPr>
      <w:r>
        <w:rPr>
          <w:rFonts w:ascii="Calibri" w:cs="Calibri" w:eastAsia="Calibri" w:hAnsi="Calibri"/>
          <w:b/>
          <w:bCs/>
          <w:color w:val="14161B"/>
          <w:sz w:val="22"/>
          <w:szCs w:val="22"/>
        </w:rPr>
        <w:t xml:space="preserve">4. LAWFUL BASIS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processes personal data on one of the following bases, identified and recorded for each processing activity: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consent</w:t>
      </w:r>
      <w:r>
        <w:rPr>
          <w:rFonts w:ascii="Calibri" w:cs="Calibri" w:eastAsia="Calibri" w:hAnsi="Calibri"/>
          <w:sz w:val="21"/>
          <w:szCs w:val="21"/>
        </w:rPr>
        <w:t xml:space="preserve"> of the data subject, which must be specific, clear and capable of being evidenced, and which may be withdrawn;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performance of a </w:t>
      </w:r>
      <w:r>
        <w:rPr>
          <w:rFonts w:ascii="Calibri" w:cs="Calibri" w:eastAsia="Calibri" w:hAnsi="Calibri"/>
          <w:b/>
          <w:bCs/>
          <w:sz w:val="21"/>
          <w:szCs w:val="21"/>
        </w:rPr>
        <w:t xml:space="preserve">contract</w:t>
      </w:r>
      <w:r>
        <w:rPr>
          <w:rFonts w:ascii="Calibri" w:cs="Calibri" w:eastAsia="Calibri" w:hAnsi="Calibri"/>
          <w:sz w:val="21"/>
          <w:szCs w:val="21"/>
        </w:rPr>
        <w:t xml:space="preserve"> to which the data subject is a party, or steps at their request before entering one;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compliance with a </w:t>
      </w:r>
      <w:r>
        <w:rPr>
          <w:rFonts w:ascii="Calibri" w:cs="Calibri" w:eastAsia="Calibri" w:hAnsi="Calibri"/>
          <w:b/>
          <w:bCs/>
          <w:sz w:val="21"/>
          <w:szCs w:val="21"/>
        </w:rPr>
        <w:t xml:space="preserve">legal obligation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protection of </w:t>
      </w:r>
      <w:r>
        <w:rPr>
          <w:rFonts w:ascii="Calibri" w:cs="Calibri" w:eastAsia="Calibri" w:hAnsi="Calibri"/>
          <w:b/>
          <w:bCs/>
          <w:sz w:val="21"/>
          <w:szCs w:val="21"/>
        </w:rPr>
        <w:t xml:space="preserve">vital interests</w:t>
      </w:r>
      <w:r>
        <w:rPr>
          <w:rFonts w:ascii="Calibri" w:cs="Calibri" w:eastAsia="Calibri" w:hAnsi="Calibri"/>
          <w:sz w:val="21"/>
          <w:szCs w:val="21"/>
        </w:rPr>
        <w:t xml:space="preserve"> of the data subject or another person;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processing necessary for </w:t>
      </w:r>
      <w:r>
        <w:rPr>
          <w:rFonts w:ascii="Calibri" w:cs="Calibri" w:eastAsia="Calibri" w:hAnsi="Calibri"/>
          <w:b/>
          <w:bCs/>
          <w:sz w:val="21"/>
          <w:szCs w:val="21"/>
        </w:rPr>
        <w:t xml:space="preserve">legal claims or proceedings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processing necessary for </w:t>
      </w:r>
      <w:r>
        <w:rPr>
          <w:rFonts w:ascii="Calibri" w:cs="Calibri" w:eastAsia="Calibri" w:hAnsi="Calibri"/>
          <w:b/>
          <w:bCs/>
          <w:sz w:val="21"/>
          <w:szCs w:val="21"/>
        </w:rPr>
        <w:t xml:space="preserve">public interest</w:t>
      </w:r>
      <w:r>
        <w:rPr>
          <w:rFonts w:ascii="Calibri" w:cs="Calibri" w:eastAsia="Calibri" w:hAnsi="Calibri"/>
          <w:sz w:val="21"/>
          <w:szCs w:val="21"/>
        </w:rPr>
        <w:t xml:space="preserve"> or the performance of a legal duty; or</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other bases permitted by the PDPL.</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The federal PDPL relies more heavily on consent than the DIFC and ADGM regimes, both of which recognise legitimate interests as a basis. Do not assume a legitimate-interests analysis carried out for a DIFC entity transfers to a mainland one.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Sensitive personal data requires a stricter basis and additional safeguards. Identify it expressly in the data inventory.</w:t>
      </w:r>
    </w:p>
    <w:p>
      <w:pPr>
        <w:keepNext/>
        <w:spacing w:after="120" w:before="280"/>
        <w:outlineLvl w:val="0"/>
      </w:pPr>
      <w:r>
        <w:rPr>
          <w:rFonts w:ascii="Calibri" w:cs="Calibri" w:eastAsia="Calibri" w:hAnsi="Calibri"/>
          <w:b/>
          <w:bCs/>
          <w:color w:val="14161B"/>
          <w:sz w:val="22"/>
          <w:szCs w:val="22"/>
        </w:rPr>
        <w:t xml:space="preserve">5. DATA SUBJECT RIGHTS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Right</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we do</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Access and information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the data held, the purposes, recipients, retention period and the source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Correction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Correct inaccurate or incomplete data</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Erasure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Delete where the purpose has ended or processing was unlawful, subject to exceptions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Restriction of processing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 where accuracy is contested or processing is objected to</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Stop processing on objection, including to direct marketing and automated decision-making</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portability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data in a structured, machine-readable format where applicable</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Withdrawal of consent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Stop the relevant processing and explain the consequences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Complaint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Explain the right to complain to the UAE Data Office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Requests are directed to the Data Protection Officer,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answered within the period required by law. </w:t>
      </w:r>
      <w:r>
        <w:rPr>
          <w:rFonts w:ascii="Calibri" w:cs="Calibri" w:eastAsia="Calibri" w:hAnsi="Calibri"/>
          <w:b/>
          <w:bCs/>
          <w:sz w:val="21"/>
          <w:szCs w:val="21"/>
        </w:rPr>
        <w:t xml:space="preserve">Confirm the applicable response period against the Executive Regulations before publishing a timescale to data subjects.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Company maintains a register of requests, dates and outcomes.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DATA PROTECTION OFFICER</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appoints a Data Protection Officer where required — including where processing is likely to result in a high risk to data subjects, where processing involves a large volume of sensitive data, or where processing involves systematic evaluation of sensitive data.</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DPO’s contact details are published and notified to the UAE Data Office as required.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DPO has direct access to </w:t>
      </w:r>
      <w:r>
        <w:rPr>
          <w:rFonts w:ascii="Calibri" w:cs="Calibri" w:eastAsia="Calibri" w:hAnsi="Calibri"/>
          <w:b/>
          <w:bCs/>
          <w:sz w:val="21"/>
          <w:szCs w:val="21"/>
        </w:rPr>
        <w:t xml:space="preserve">[the Board / the Managing Director]</w:t>
      </w:r>
      <w:r>
        <w:rPr>
          <w:rFonts w:ascii="Calibri" w:cs="Calibri" w:eastAsia="Calibri" w:hAnsi="Calibri"/>
          <w:sz w:val="21"/>
          <w:szCs w:val="21"/>
        </w:rPr>
        <w:t xml:space="preserve">, sufficient resources, and protection from disadvantage for performing the role.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Whether an appointment is mandatory for this organisation depends on the risk criteria and, in part, on the Executive Regulations. Where there is doubt, appoint — the cost is low and the position is defensible.</w:t>
      </w:r>
    </w:p>
    <w:p>
      <w:pPr>
        <w:keepNext/>
        <w:spacing w:after="120" w:before="280"/>
        <w:outlineLvl w:val="0"/>
      </w:pPr>
      <w:r>
        <w:rPr>
          <w:rFonts w:ascii="Calibri" w:cs="Calibri" w:eastAsia="Calibri" w:hAnsi="Calibri"/>
          <w:b/>
          <w:bCs/>
          <w:color w:val="14161B"/>
          <w:sz w:val="22"/>
          <w:szCs w:val="22"/>
        </w:rPr>
        <w:t xml:space="preserve">7. SECURITY AND BREACH</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applies technical and organisational measures appropriate to the risk, including access control on a need-to-know basis, encryption where appropriate, secure disposal, logging of access to sensitive data, and training at induction and annually.</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Any suspected breach must be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to the Data Protection Officer at </w:t>
      </w:r>
      <w:r>
        <w:rPr>
          <w:rFonts w:ascii="Calibri" w:cs="Calibri" w:eastAsia="Calibri" w:hAnsi="Calibri"/>
          <w:b/>
          <w:bCs/>
          <w:sz w:val="21"/>
          <w:szCs w:val="21"/>
        </w:rPr>
        <w:t xml:space="preserve">[EMAIL]</w:t>
      </w:r>
      <w:r>
        <w:rPr>
          <w:rFonts w:ascii="Calibri" w:cs="Calibri" w:eastAsia="Calibri" w:hAnsi="Calibri"/>
          <w:sz w:val="21"/>
          <w:szCs w:val="21"/>
        </w:rPr>
        <w:t xml:space="preserve"> and </w:t>
      </w:r>
      <w:r>
        <w:rPr>
          <w:rFonts w:ascii="Calibri" w:cs="Calibri" w:eastAsia="Calibri" w:hAnsi="Calibri"/>
          <w:b/>
          <w:bCs/>
          <w:sz w:val="21"/>
          <w:szCs w:val="21"/>
        </w:rPr>
        <w:t xml:space="preserve">[PHONE]</w:t>
      </w:r>
      <w:r>
        <w:rPr>
          <w:rFonts w:ascii="Calibri" w:cs="Calibri" w:eastAsia="Calibri" w:hAnsi="Calibri"/>
          <w:sz w:val="21"/>
          <w:szCs w:val="21"/>
        </w:rPr>
        <w:t xml:space="preserve">. Employees must not attempt to assess or resolve a breach before reporting it.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On becoming aware of a breach the Company will contain it, assess it, and where the breach would prejudice the privacy, confidentiality or security of personal data, </w:t>
      </w:r>
      <w:r>
        <w:rPr>
          <w:rFonts w:ascii="Calibri" w:cs="Calibri" w:eastAsia="Calibri" w:hAnsi="Calibri"/>
          <w:b/>
          <w:bCs/>
          <w:sz w:val="21"/>
          <w:szCs w:val="21"/>
        </w:rPr>
        <w:t xml:space="preserve">notify the UAE Data Office without undue delay</w:t>
      </w:r>
      <w:r>
        <w:rPr>
          <w:rFonts w:ascii="Calibri" w:cs="Calibri" w:eastAsia="Calibri" w:hAnsi="Calibri"/>
          <w:sz w:val="21"/>
          <w:szCs w:val="21"/>
        </w:rPr>
        <w:t xml:space="preserve">, and notify affected data subjects where the breach would cause them harm.</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The precise notification deadline is one of the points affected by the Executive Regulations.</w:t>
      </w:r>
      <w:r>
        <w:rPr>
          <w:rFonts w:ascii="Calibri" w:cs="Calibri" w:eastAsia="Calibri" w:hAnsi="Calibri"/>
          <w:sz w:val="21"/>
          <w:szCs w:val="21"/>
        </w:rPr>
        <w:t xml:space="preserve"> Reported practice has included a 72-hour standard. Until the position is confirmed, the Company will treat </w:t>
      </w:r>
      <w:r>
        <w:rPr>
          <w:rFonts w:ascii="Calibri" w:cs="Calibri" w:eastAsia="Calibri" w:hAnsi="Calibri"/>
          <w:b/>
          <w:bCs/>
          <w:sz w:val="21"/>
          <w:szCs w:val="21"/>
        </w:rPr>
        <w:t xml:space="preserve">72 hours from becoming aware</w:t>
      </w:r>
      <w:r>
        <w:rPr>
          <w:rFonts w:ascii="Calibri" w:cs="Calibri" w:eastAsia="Calibri" w:hAnsi="Calibri"/>
          <w:sz w:val="21"/>
          <w:szCs w:val="21"/>
        </w:rPr>
        <w:t xml:space="preserve"> as its internal deadline and will document the reasoning for any longer period.</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Company maintains a breach register recording every incident assessed, the determination, and the reasoning — </w:t>
      </w:r>
      <w:r>
        <w:rPr>
          <w:rFonts w:ascii="Calibri" w:cs="Calibri" w:eastAsia="Calibri" w:hAnsi="Calibri"/>
          <w:b/>
          <w:bCs/>
          <w:sz w:val="21"/>
          <w:szCs w:val="21"/>
        </w:rPr>
        <w:t xml:space="preserve">including incidents assessed as not notifiable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PROCESSORS AND TRANSFERS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a third party processes personal data for the Company, a written agreement will require processing only on the Company’s instructions, appropriate security measures, confidentiality, immediate breach notification, no sub-processing without consent, and return or deletion on termination.</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remains responsible for personal data processed on its behalf.</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Cross-border transfer.</w:t>
      </w:r>
      <w:r>
        <w:rPr>
          <w:rFonts w:ascii="Calibri" w:cs="Calibri" w:eastAsia="Calibri" w:hAnsi="Calibri"/>
          <w:sz w:val="21"/>
          <w:szCs w:val="21"/>
        </w:rPr>
        <w:t xml:space="preserve"> Personal data may be transferred outside the UAE where the destination provides an adequate level of protection, where appropriate contractual safeguards are in place, with the data subject’s consent, or where another permitted ground applies.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i/>
          <w:iCs/>
          <w:sz w:val="21"/>
          <w:szCs w:val="21"/>
        </w:rPr>
        <w:t xml:space="preserve">A transfer from a mainland entity to a group company in DIFC or ADGM is a transfer between jurisdictions and needs to be assessed as such. Note in particular that the UAE mainland is not treated as adequate by DIFC — so a DIFC-to-mainland transfer requires safeguards in the other direction too.</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Company maintains a register of processors and of transfers outside the UAE.</w:t>
      </w:r>
    </w:p>
    <w:p>
      <w:pPr>
        <w:keepNext/>
        <w:spacing w:after="120" w:before="280"/>
        <w:outlineLvl w:val="0"/>
      </w:pPr>
      <w:r>
        <w:rPr>
          <w:rFonts w:ascii="Calibri" w:cs="Calibri" w:eastAsia="Calibri" w:hAnsi="Calibri"/>
          <w:b/>
          <w:bCs/>
          <w:color w:val="14161B"/>
          <w:sz w:val="22"/>
          <w:szCs w:val="22"/>
        </w:rPr>
        <w:t xml:space="preserve">9. RECORDS AND ACCOUNTABILITY</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Company maintains a record of processing activities showing, for each activity: the personal data held, the purposes, the lawful basis, the categories of recipient, any transfer outside the UAE and the safeguard relied on, and the retention period.</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Company will carry out a data protection impact assessment before any processing likely to result in a high risk, including large-scale processing of sensitive data, systematic monitoring, and the use of new technologies.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Records are retained for the period required and made available to the UAE Data Office on request.</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Data Protection Officer</w:t>
            </w:r>
          </w:p>
          <w:p>
            <w:pPr>
              <w:spacing w:after="90" w:line="264"/>
            </w:pP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Record of Processing Activities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156"/>
        <w:gridCol w:w="963"/>
        <w:gridCol w:w="1445"/>
        <w:gridCol w:w="674"/>
        <w:gridCol w:w="1252"/>
        <w:gridCol w:w="1060"/>
        <w:gridCol w:w="867"/>
        <w:gridCol w:w="963"/>
        <w:gridCol w:w="969"/>
      </w:tblGrid>
      <w:tr>
        <w:trPr>
          <w:cantSplit/>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Activity</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Data subjects</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Categories of data</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Sensitive?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Lawful basis</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Recipients</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Transfer outside UAE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Safeguard</w:t>
            </w:r>
          </w:p>
        </w:tc>
        <w:tc>
          <w:tcPr>
            <w:tcW w:type="dxa" w:w="9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Retention</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[Payroll]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Emirates ID, bank, salary]</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[Contract / legal obligation]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[Bank, WPS]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[Recruitment]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[Applicants]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[CV, contact, references]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[Consent]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[Customer records]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[Customers]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[Contract]</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4</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[Health insurance administration]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[Health data]</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[Legal obligation]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[Insurer]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r>
      <w:tr>
        <w:trPr>
          <w:cantSplit/>
        </w:trP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5</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[CCTV]</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[Staff, visitors]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[Images]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w:t>
            </w:r>
          </w:p>
        </w:tc>
        <w:tc>
          <w:tcPr>
            <w:tcW w:type="dxa" w:w="96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Implementation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Executive Regulations status verified with a primary source and the date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Entity jurisdiction confirmed — mainland, free zone, DIFC or ADGM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of processing activities completed for every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 basis identified and recorded for each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Sensitive personal data identified and additional safeguards applied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DPO appointment assessed against the risk criteria; appointed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Privacy notices issued to customers, employees and applicants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mechanisms reviewed — specific, evidenced, withdrawable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Processor agreements in place with immediate breach notification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Transfers outside the UAE identified and safeguards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Intra-group transfers to or from DIFC/ADGM assessed separately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response plan documented and tested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Retention schedule set and applied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Staff training delivered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subject request process and register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Verify the Executive Regulations status before adopting this policy</w:t>
      </w:r>
    </w:p>
    <w:p>
      <w:pPr>
        <w:spacing w:after="60" w:line="264"/>
        <w:jc w:val="both"/>
      </w:pPr>
      <w:r>
        <w:rPr>
          <w:rFonts w:ascii="Calibri" w:cs="Calibri" w:eastAsia="Calibri" w:hAnsi="Calibri"/>
          <w:sz w:val="19"/>
          <w:szCs w:val="19"/>
        </w:rPr>
        <w:t xml:space="preserve">Federal Decree-Law 45/2021 has been in force since 2 January 2022, but the status of its Executive Regulations is reported inconsistently — some sources describe them as issued with a compliance deadline, others as still unpublished as of mid-2026. The regulations bear on notification periods, breach timelines, registration duties and the exemption for small-volume processors. Check with the UAE Data Office or a UAE data protection adviser, record the date and source in the header, and revisit this policy when the position settles.</w:t>
      </w:r>
    </w:p>
    <w:p>
      <w:pPr>
        <w:keepNext/>
        <w:spacing w:after="40" w:before="140"/>
      </w:pPr>
      <w:r>
        <w:rPr>
          <w:rFonts w:ascii="Calibri" w:cs="Calibri" w:eastAsia="Calibri" w:hAnsi="Calibri"/>
          <w:b/>
          <w:bCs/>
          <w:color w:val="14161B"/>
          <w:sz w:val="20"/>
          <w:szCs w:val="20"/>
        </w:rPr>
        <w:t xml:space="preserve">Work to the law in the meantime, not to silence</w:t>
      </w:r>
    </w:p>
    <w:p>
      <w:pPr>
        <w:spacing w:after="60" w:line="264"/>
        <w:jc w:val="both"/>
      </w:pPr>
      <w:r>
        <w:rPr>
          <w:rFonts w:ascii="Calibri" w:cs="Calibri" w:eastAsia="Calibri" w:hAnsi="Calibri"/>
          <w:sz w:val="19"/>
          <w:szCs w:val="19"/>
        </w:rPr>
        <w:t xml:space="preserve">Where the regulations are unresolved, the sensible course is to comply with the decree-law text, adopt international good practice for anything the text leaves open, document the approach taken, and keep the reasoning. An organisation that did nothing while waiting is in a materially worse position than one that implemented a defensible interim standard.</w:t>
      </w:r>
    </w:p>
    <w:p>
      <w:pPr>
        <w:keepNext/>
        <w:spacing w:after="40" w:before="140"/>
      </w:pPr>
      <w:r>
        <w:rPr>
          <w:rFonts w:ascii="Calibri" w:cs="Calibri" w:eastAsia="Calibri" w:hAnsi="Calibri"/>
          <w:b/>
          <w:bCs/>
          <w:color w:val="14161B"/>
          <w:sz w:val="20"/>
          <w:szCs w:val="20"/>
        </w:rPr>
        <w:t xml:space="preserve">Map the jurisdiction first, per entity and per dataset</w:t>
      </w:r>
    </w:p>
    <w:p>
      <w:pPr>
        <w:spacing w:after="60" w:line="264"/>
        <w:jc w:val="both"/>
      </w:pPr>
      <w:r>
        <w:rPr>
          <w:rFonts w:ascii="Calibri" w:cs="Calibri" w:eastAsia="Calibri" w:hAnsi="Calibri"/>
          <w:sz w:val="19"/>
          <w:szCs w:val="19"/>
        </w:rPr>
        <w:t xml:space="preserve">A DIFC entity follows DIFC Law 5/2020. An ADGM entity follows the ADGM Regulations. Everyone else, including most free zones, follows the federal PDPL. A group operating across two of these is running two regimes simultaneously, and the mapping is per entity and per dataset — not one answer for the group.</w:t>
      </w:r>
    </w:p>
    <w:p>
      <w:pPr>
        <w:keepNext/>
        <w:spacing w:after="40" w:before="140"/>
      </w:pPr>
      <w:r>
        <w:rPr>
          <w:rFonts w:ascii="Calibri" w:cs="Calibri" w:eastAsia="Calibri" w:hAnsi="Calibri"/>
          <w:b/>
          <w:bCs/>
          <w:color w:val="14161B"/>
          <w:sz w:val="20"/>
          <w:szCs w:val="20"/>
        </w:rPr>
        <w:t xml:space="preserve">DIFC and ADGM are closer to GDPR than the federal law is</w:t>
      </w:r>
    </w:p>
    <w:p>
      <w:pPr>
        <w:spacing w:after="60" w:line="264"/>
        <w:jc w:val="both"/>
      </w:pPr>
      <w:r>
        <w:rPr>
          <w:rFonts w:ascii="Calibri" w:cs="Calibri" w:eastAsia="Calibri" w:hAnsi="Calibri"/>
          <w:sz w:val="19"/>
          <w:szCs w:val="19"/>
        </w:rPr>
        <w:t xml:space="preserve">Both financial free zone regimes track European concepts closely, including legitimate interests as a lawful basis. The federal PDPL leans more heavily on consent. A legitimate-interests assessment prepared for a DIFC entity does not carry across to a mainland entity, and assuming it does is a common error in groups.</w:t>
      </w:r>
    </w:p>
    <w:p>
      <w:pPr>
        <w:keepNext/>
        <w:spacing w:after="40" w:before="140"/>
      </w:pPr>
      <w:r>
        <w:rPr>
          <w:rFonts w:ascii="Calibri" w:cs="Calibri" w:eastAsia="Calibri" w:hAnsi="Calibri"/>
          <w:b/>
          <w:bCs/>
          <w:color w:val="14161B"/>
          <w:sz w:val="20"/>
          <w:szCs w:val="20"/>
        </w:rPr>
        <w:t xml:space="preserve">Mainland is not adequate for DIFC transfers</w:t>
      </w:r>
    </w:p>
    <w:p>
      <w:pPr>
        <w:spacing w:after="60" w:line="264"/>
        <w:jc w:val="both"/>
      </w:pPr>
      <w:r>
        <w:rPr>
          <w:rFonts w:ascii="Calibri" w:cs="Calibri" w:eastAsia="Calibri" w:hAnsi="Calibri"/>
          <w:sz w:val="19"/>
          <w:szCs w:val="19"/>
        </w:rPr>
        <w:t xml:space="preserve">DIFC maintains its own adequacy list, and the UAE mainland is not on it. A transfer of personal data from a DIFC entity to a mainland affiliate requires contractual safeguards or another valid ground. Groups routinely move data between their own entities without treating it as a cross-border transfer at all.</w:t>
      </w:r>
    </w:p>
    <w:p>
      <w:pPr>
        <w:keepNext/>
        <w:spacing w:after="40" w:before="140"/>
      </w:pPr>
      <w:r>
        <w:rPr>
          <w:rFonts w:ascii="Calibri" w:cs="Calibri" w:eastAsia="Calibri" w:hAnsi="Calibri"/>
          <w:b/>
          <w:bCs/>
          <w:color w:val="14161B"/>
          <w:sz w:val="20"/>
          <w:szCs w:val="20"/>
        </w:rPr>
        <w:t xml:space="preserve">Consent under the federal law must be evidenced</w:t>
      </w:r>
    </w:p>
    <w:p>
      <w:pPr>
        <w:spacing w:after="60" w:line="264"/>
        <w:jc w:val="both"/>
      </w:pPr>
      <w:r>
        <w:rPr>
          <w:rFonts w:ascii="Calibri" w:cs="Calibri" w:eastAsia="Calibri" w:hAnsi="Calibri"/>
          <w:sz w:val="19"/>
          <w:szCs w:val="19"/>
        </w:rPr>
        <w:t xml:space="preserve">Consent must be specific, clear and capable of being demonstrated, and it can be withdrawn. Bundled consent buried in terms and conditions will not support processing. Where consent is the basis, keep the record of what was asked and when.</w:t>
      </w:r>
    </w:p>
    <w:p>
      <w:pPr>
        <w:keepNext/>
        <w:spacing w:after="40" w:before="140"/>
      </w:pPr>
      <w:r>
        <w:rPr>
          <w:rFonts w:ascii="Calibri" w:cs="Calibri" w:eastAsia="Calibri" w:hAnsi="Calibri"/>
          <w:b/>
          <w:bCs/>
          <w:color w:val="14161B"/>
          <w:sz w:val="20"/>
          <w:szCs w:val="20"/>
        </w:rPr>
        <w:t xml:space="preserve">Identify sensitive data explicitly</w:t>
      </w:r>
    </w:p>
    <w:p>
      <w:pPr>
        <w:spacing w:after="60" w:line="264"/>
        <w:jc w:val="both"/>
      </w:pPr>
      <w:r>
        <w:rPr>
          <w:rFonts w:ascii="Calibri" w:cs="Calibri" w:eastAsia="Calibri" w:hAnsi="Calibri"/>
          <w:sz w:val="19"/>
          <w:szCs w:val="19"/>
        </w:rPr>
        <w:t xml:space="preserve">Health, biometric, criminal record, religious and political data attract stricter requirements. Health data in particular arises in almost every UAE employer through mandatory medical testing and health insurance administration — it is usually present even where the organisation believes it holds no sensitive data.</w:t>
      </w:r>
    </w:p>
    <w:p>
      <w:pPr>
        <w:keepNext/>
        <w:spacing w:after="40" w:before="140"/>
      </w:pPr>
      <w:r>
        <w:rPr>
          <w:rFonts w:ascii="Calibri" w:cs="Calibri" w:eastAsia="Calibri" w:hAnsi="Calibri"/>
          <w:b/>
          <w:bCs/>
          <w:color w:val="14161B"/>
          <w:sz w:val="20"/>
          <w:szCs w:val="20"/>
        </w:rPr>
        <w:t xml:space="preserve">Sector rules apply on top</w:t>
      </w:r>
    </w:p>
    <w:p>
      <w:pPr>
        <w:spacing w:after="60" w:line="264"/>
        <w:jc w:val="both"/>
      </w:pPr>
      <w:r>
        <w:rPr>
          <w:rFonts w:ascii="Calibri" w:cs="Calibri" w:eastAsia="Calibri" w:hAnsi="Calibri"/>
          <w:sz w:val="19"/>
          <w:szCs w:val="19"/>
        </w:rPr>
        <w:t xml:space="preserve">Banking, healthcare, telecoms and credit data are subject to their own federal legislation and regulators in addition to the PDPL. Compliance with the PDPL alone is not sufficient in a regulated sector.</w:t>
      </w:r>
    </w:p>
    <w:p>
      <w:pPr>
        <w:keepNext/>
        <w:spacing w:after="40" w:before="140"/>
      </w:pPr>
      <w:r>
        <w:rPr>
          <w:rFonts w:ascii="Calibri" w:cs="Calibri" w:eastAsia="Calibri" w:hAnsi="Calibri"/>
          <w:b/>
          <w:bCs/>
          <w:color w:val="14161B"/>
          <w:sz w:val="20"/>
          <w:szCs w:val="20"/>
        </w:rPr>
        <w:t xml:space="preserve">Report breaches first, assess second</w:t>
      </w:r>
    </w:p>
    <w:p>
      <w:pPr>
        <w:spacing w:after="60" w:line="264"/>
        <w:jc w:val="both"/>
      </w:pPr>
      <w:r>
        <w:rPr>
          <w:rFonts w:ascii="Calibri" w:cs="Calibri" w:eastAsia="Calibri" w:hAnsi="Calibri"/>
          <w:sz w:val="19"/>
          <w:szCs w:val="19"/>
        </w:rPr>
        <w:t xml:space="preserve">Clause 7.2 instructs staff to report immediately and not to investigate first. The costliest delays come from someone trying to resolve a problem quietly before telling anyone, which loses containment time and often destroys the evidence needed to establish scope.</w:t>
      </w:r>
    </w:p>
    <w:p>
      <w:pPr>
        <w:keepNext/>
        <w:spacing w:after="40" w:before="140"/>
      </w:pPr>
      <w:r>
        <w:rPr>
          <w:rFonts w:ascii="Calibri" w:cs="Calibri" w:eastAsia="Calibri" w:hAnsi="Calibri"/>
          <w:b/>
          <w:bCs/>
          <w:color w:val="14161B"/>
          <w:sz w:val="20"/>
          <w:szCs w:val="20"/>
        </w:rPr>
        <w:t xml:space="preserve">Record why a breach was not notified</w:t>
      </w:r>
    </w:p>
    <w:p>
      <w:pPr>
        <w:spacing w:after="60" w:line="264"/>
        <w:jc w:val="both"/>
      </w:pPr>
      <w:r>
        <w:rPr>
          <w:rFonts w:ascii="Calibri" w:cs="Calibri" w:eastAsia="Calibri" w:hAnsi="Calibri"/>
          <w:sz w:val="19"/>
          <w:szCs w:val="19"/>
        </w:rPr>
        <w:t xml:space="preserve">Organisations document notified breaches and document nothing about those they assessed and dismissed. If the decision is later questioned, the absence of a record is indistinguishable from never having assessed. Clause 7.5 requires the reasoning either way.</w:t>
      </w:r>
    </w:p>
    <w:p>
      <w:pPr>
        <w:keepNext/>
        <w:spacing w:after="40" w:before="140"/>
      </w:pPr>
      <w:r>
        <w:rPr>
          <w:rFonts w:ascii="Calibri" w:cs="Calibri" w:eastAsia="Calibri" w:hAnsi="Calibri"/>
          <w:b/>
          <w:bCs/>
          <w:color w:val="14161B"/>
          <w:sz w:val="20"/>
          <w:szCs w:val="20"/>
        </w:rPr>
        <w:t xml:space="preserve">Use 72 hours as the working standard until confirmed</w:t>
      </w:r>
    </w:p>
    <w:p>
      <w:pPr>
        <w:spacing w:after="60" w:line="264"/>
        <w:jc w:val="both"/>
      </w:pPr>
      <w:r>
        <w:rPr>
          <w:rFonts w:ascii="Calibri" w:cs="Calibri" w:eastAsia="Calibri" w:hAnsi="Calibri"/>
          <w:sz w:val="19"/>
          <w:szCs w:val="19"/>
        </w:rPr>
        <w:t xml:space="preserve">Reported practice has included a 72-hour breach notification standard. Clause 7.4 adopts it internally as an interim position while documenting that the statutory deadline needs confirmation. That is defensible; guessing a longer period is not.</w:t>
      </w:r>
    </w:p>
    <w:p>
      <w:pPr>
        <w:keepNext/>
        <w:spacing w:after="40" w:before="140"/>
      </w:pPr>
      <w:r>
        <w:rPr>
          <w:rFonts w:ascii="Calibri" w:cs="Calibri" w:eastAsia="Calibri" w:hAnsi="Calibri"/>
          <w:b/>
          <w:bCs/>
          <w:color w:val="14161B"/>
          <w:sz w:val="20"/>
          <w:szCs w:val="20"/>
        </w:rPr>
        <w:t xml:space="preserve">The record of processing is the foundation</w:t>
      </w:r>
    </w:p>
    <w:p>
      <w:pPr>
        <w:spacing w:after="60" w:line="264"/>
        <w:jc w:val="both"/>
      </w:pPr>
      <w:r>
        <w:rPr>
          <w:rFonts w:ascii="Calibri" w:cs="Calibri" w:eastAsia="Calibri" w:hAnsi="Calibri"/>
          <w:sz w:val="19"/>
          <w:szCs w:val="19"/>
        </w:rPr>
        <w:t xml:space="preserve">Annexure A underpins everything else — retention, breach assessment, subject requests, transfer analysis and processor management all depend on knowing what data is held, why, where and for how long. Organisations that cannot complete it cannot do the rest properly.</w:t>
      </w:r>
    </w:p>
    <w:p>
      <w:pPr>
        <w:keepNext/>
        <w:spacing w:after="40" w:before="140"/>
      </w:pPr>
      <w:r>
        <w:rPr>
          <w:rFonts w:ascii="Calibri" w:cs="Calibri" w:eastAsia="Calibri" w:hAnsi="Calibri"/>
          <w:b/>
          <w:bCs/>
          <w:color w:val="14161B"/>
          <w:sz w:val="20"/>
          <w:szCs w:val="20"/>
        </w:rPr>
        <w:t xml:space="preserve">Penalties are substantial</w:t>
      </w:r>
    </w:p>
    <w:p>
      <w:pPr>
        <w:spacing w:after="60" w:line="264"/>
        <w:jc w:val="both"/>
      </w:pPr>
      <w:r>
        <w:rPr>
          <w:rFonts w:ascii="Calibri" w:cs="Calibri" w:eastAsia="Calibri" w:hAnsi="Calibri"/>
          <w:sz w:val="19"/>
          <w:szCs w:val="19"/>
        </w:rPr>
        <w:t xml:space="preserve">Administrative fines under the federal regime have been reported in the range of AED 50,000 to AED 5,000,000 depending on severity. This is not a regime to treat as aspirational.</w:t>
      </w:r>
    </w:p>
    <w:p>
      <w:pPr>
        <w:keepNext/>
        <w:spacing w:after="40" w:before="140"/>
      </w:pPr>
      <w:r>
        <w:rPr>
          <w:rFonts w:ascii="Calibri" w:cs="Calibri" w:eastAsia="Calibri" w:hAnsi="Calibri"/>
          <w:b/>
          <w:bCs/>
          <w:color w:val="14161B"/>
          <w:sz w:val="20"/>
          <w:szCs w:val="20"/>
        </w:rPr>
        <w:t xml:space="preserve">Employee data is in scope</w:t>
      </w:r>
    </w:p>
    <w:p>
      <w:pPr>
        <w:spacing w:after="60" w:line="264"/>
        <w:jc w:val="both"/>
      </w:pPr>
      <w:r>
        <w:rPr>
          <w:rFonts w:ascii="Calibri" w:cs="Calibri" w:eastAsia="Calibri" w:hAnsi="Calibri"/>
          <w:sz w:val="19"/>
          <w:szCs w:val="19"/>
        </w:rPr>
        <w:t xml:space="preserve">Payroll, Emirates ID copies, passport and visa records, medical test results, health insurance and WPS data are all personal data, much of it sensitive. Issue an employee privacy notice at onboarding — it is the document most often missing from an otherwise complete policy set.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status of the PDPL Executive Regulations is specifically unresolved in current sources and must be verified before this policy is relied on.</w:t>
      </w:r>
      <w:r>
        <w:rPr>
          <w:rFonts w:ascii="Calibri" w:cs="Calibri" w:eastAsia="Calibri" w:hAnsi="Calibri"/>
          <w:sz w:val="19"/>
          <w:szCs w:val="19"/>
        </w:rPr>
        <w:t xml:space="preserve"> DIFC Law 5/2020 was amended with effect from July 2025 and DIFC introduced AI-specific regulation from January 2026 — confirm the current position for each jurisdiction with a UAE data protection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2026-08-23T16:28:31.660Z</dcterms:created>
  <dcterms:modified xsi:type="dcterms:W3CDTF">2026-08-23T16:28:31.660Z</dcterms:modified>
</cp:coreProperties>
</file>

<file path=docProps/custom.xml><?xml version="1.0" encoding="utf-8"?>
<Properties xmlns="http://schemas.openxmlformats.org/officeDocument/2006/custom-properties" xmlns:vt="http://schemas.openxmlformats.org/officeDocument/2006/docPropsVTypes"/>
</file>