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OUTSOURCED LABOUR</w:t>
      </w:r>
    </w:p>
    <w:p>
      <w:pPr>
        <w:spacing w:after="260"/>
        <w:jc w:val="center"/>
      </w:pPr>
      <w:r>
        <w:rPr>
          <w:rFonts w:ascii="Calibri" w:cs="Calibri" w:eastAsia="Calibri" w:hAnsi="Calibri"/>
          <w:i/>
          <w:iCs/>
          <w:color w:val="6E7480"/>
          <w:sz w:val="19"/>
          <w:szCs w:val="19"/>
        </w:rPr>
        <w:t xml:space="preserve">Manpower supply, agency workers and contractors on site</w:t>
      </w:r>
    </w:p>
    <w:p>
      <w:pPr>
        <w:spacing w:after="180" w:before="0" w:line="276"/>
        <w:jc w:val="both"/>
      </w:pPr>
      <w:r>
        <w:rPr>
          <w:rFonts w:ascii="Calibri" w:cs="Calibri" w:eastAsia="Calibri" w:hAnsi="Calibri"/>
          <w:i/>
          <w:iCs/>
          <w:color w:val="6E7480"/>
          <w:sz w:val="21"/>
          <w:szCs w:val="21"/>
        </w:rPr>
        <w:t xml:space="preserve">Using workers supplied by another company does not transfer the exposure. </w:t>
      </w:r>
      <w:r>
        <w:rPr>
          <w:rFonts w:ascii="Calibri" w:cs="Calibri" w:eastAsia="Calibri" w:hAnsi="Calibri"/>
          <w:b/>
          <w:bCs/>
          <w:i/>
          <w:iCs/>
          <w:color w:val="6E7480"/>
          <w:sz w:val="21"/>
          <w:szCs w:val="21"/>
        </w:rPr>
        <w:t xml:space="preserve">The people are on someone else’s permit but working at your site</w:t>
      </w:r>
      <w:r>
        <w:rPr>
          <w:rFonts w:ascii="Calibri" w:cs="Calibri" w:eastAsia="Calibri" w:hAnsi="Calibri"/>
          <w:i/>
          <w:iCs/>
          <w:color w:val="6E7480"/>
          <w:sz w:val="21"/>
          <w:szCs w:val="21"/>
        </w:rPr>
        <w:t xml:space="preserve">, and if their wages go unpaid, their permits are invalid, or the supplier is unlicensed, it becomes your problem — commercially, reputationally, and sometimes legally.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Supplier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Licensed for manpower supply?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a specific activity, not general contracting</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Workers supplied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Roles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Charge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w:t>
            </w:r>
            <w:r>
              <w:rPr>
                <w:rFonts w:ascii="Calibri" w:cs="Calibri" w:eastAsia="Calibri" w:hAnsi="Calibri"/>
                <w:b/>
                <w:bCs/>
                <w:sz w:val="19"/>
                <w:szCs w:val="19"/>
              </w:rPr>
              <w:t xml:space="preserve">[worker per month]</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Employer of the workers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Supplier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ENGAGING A SUPPLIER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469"/>
        <w:gridCol w:w="4240"/>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Licensed specifically for manpower supply</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general contracting licence does not cover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Workers hold valid permits with the Supplier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Your site, your exposure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 job titles match the work being done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mismatch is a contravention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Supplier pays wages through WPS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Ask for evidence, not assurance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Workers have health insurance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Mandatory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Supplier does not charge the workers any fee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Unlawful — and it happens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Supplier does not hold worker passports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Prohibited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Accommodation, where provided, meets requirements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Reputational as well as legal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injury and public liability insurance in force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Evidence, not a promise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Supplier’s own compliance record checked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Bans and penalties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Right to audit agreed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Section 4</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Charge is arm’s length if the Supplier is connected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pricing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Check 6 is the one nobody asks. Workers recruited overseas are sometimes charged fees by agents in their home country — unlawful here, invisible to the client, and precisely the practice a client’s own standards should be checking for.</w:t>
      </w:r>
    </w:p>
    <w:p>
      <w:pPr>
        <w:keepNext/>
        <w:spacing w:after="120" w:before="280"/>
        <w:outlineLvl w:val="0"/>
      </w:pPr>
      <w:r>
        <w:rPr>
          <w:rFonts w:ascii="Calibri" w:cs="Calibri" w:eastAsia="Calibri" w:hAnsi="Calibri"/>
          <w:b/>
          <w:bCs/>
          <w:color w:val="14161B"/>
          <w:sz w:val="22"/>
          <w:szCs w:val="22"/>
        </w:rPr>
        <w:t xml:space="preserve">2. WHO IS RESPONSIBLE FOR WHAT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2602"/>
        <w:gridCol w:w="2603"/>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26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Supplier</w:t>
            </w:r>
          </w:p>
        </w:tc>
        <w:tc>
          <w:tcPr>
            <w:tcW w:type="dxa" w:w="26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Client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of the workers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603"/>
            <w:tcMar>
              <w:top w:type="dxa" w:w="70"/>
              <w:left w:type="dxa" w:w="100"/>
              <w:bottom w:type="dxa" w:w="70"/>
              <w:right w:type="dxa" w:w="100"/>
            </w:tcMar>
            <w:vAlign w:val="center"/>
          </w:tcPr>
          <w:p>
            <w:pPr>
              <w:spacing w:after="0" w:line="240"/>
              <w:jc w:val="left"/>
            </w:pP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permits and visas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603"/>
            <w:tcMar>
              <w:top w:type="dxa" w:w="70"/>
              <w:left w:type="dxa" w:w="100"/>
              <w:bottom w:type="dxa" w:w="70"/>
              <w:right w:type="dxa" w:w="100"/>
            </w:tcMar>
            <w:vAlign w:val="center"/>
          </w:tcPr>
          <w:p>
            <w:pPr>
              <w:spacing w:after="0" w:line="240"/>
              <w:jc w:val="left"/>
            </w:pP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Wages and WPS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603"/>
            <w:tcMar>
              <w:top w:type="dxa" w:w="70"/>
              <w:left w:type="dxa" w:w="100"/>
              <w:bottom w:type="dxa" w:w="70"/>
              <w:right w:type="dxa" w:w="100"/>
            </w:tcMar>
            <w:vAlign w:val="center"/>
          </w:tcPr>
          <w:p>
            <w:pPr>
              <w:spacing w:after="0" w:line="240"/>
              <w:jc w:val="left"/>
            </w:pP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Health insurance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603"/>
            <w:tcMar>
              <w:top w:type="dxa" w:w="70"/>
              <w:left w:type="dxa" w:w="100"/>
              <w:bottom w:type="dxa" w:w="70"/>
              <w:right w:type="dxa" w:w="100"/>
            </w:tcMar>
            <w:vAlign w:val="center"/>
          </w:tcPr>
          <w:p>
            <w:pPr>
              <w:spacing w:after="0" w:line="240"/>
              <w:jc w:val="left"/>
            </w:pP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or scheme contributions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603"/>
            <w:tcMar>
              <w:top w:type="dxa" w:w="70"/>
              <w:left w:type="dxa" w:w="100"/>
              <w:bottom w:type="dxa" w:w="70"/>
              <w:right w:type="dxa" w:w="100"/>
            </w:tcMar>
            <w:vAlign w:val="center"/>
          </w:tcPr>
          <w:p>
            <w:pPr>
              <w:spacing w:after="0" w:line="240"/>
              <w:jc w:val="left"/>
            </w:pP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Discipline and termination</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603"/>
            <w:tcMar>
              <w:top w:type="dxa" w:w="70"/>
              <w:left w:type="dxa" w:w="100"/>
              <w:bottom w:type="dxa" w:w="70"/>
              <w:right w:type="dxa" w:w="100"/>
            </w:tcMar>
            <w:vAlign w:val="center"/>
          </w:tcPr>
          <w:p>
            <w:pPr>
              <w:spacing w:after="0" w:line="240"/>
              <w:jc w:val="left"/>
            </w:pP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Safety at the site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[Shared]</w:t>
            </w:r>
          </w:p>
        </w:tc>
        <w:tc>
          <w:tcPr>
            <w:tcW w:type="dxa" w:w="260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 you control the premises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Induction and site rules</w:t>
            </w:r>
          </w:p>
        </w:tc>
        <w:tc>
          <w:tcPr>
            <w:tcW w:type="dxa" w:w="2602"/>
            <w:tcMar>
              <w:top w:type="dxa" w:w="70"/>
              <w:left w:type="dxa" w:w="100"/>
              <w:bottom w:type="dxa" w:w="70"/>
              <w:right w:type="dxa" w:w="100"/>
            </w:tcMar>
            <w:vAlign w:val="center"/>
          </w:tcPr>
          <w:p>
            <w:pPr>
              <w:spacing w:after="0" w:line="240"/>
              <w:jc w:val="left"/>
            </w:pPr>
          </w:p>
        </w:tc>
        <w:tc>
          <w:tcPr>
            <w:tcW w:type="dxa" w:w="260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Midday work ban compliance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[Shared]</w:t>
            </w:r>
          </w:p>
        </w:tc>
        <w:tc>
          <w:tcPr>
            <w:tcW w:type="dxa" w:w="260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at your site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Equipment and protective gear</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[Specify]</w:t>
            </w:r>
          </w:p>
        </w:tc>
        <w:tc>
          <w:tcPr>
            <w:tcW w:type="dxa" w:w="260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[Specify]</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Day-to-day direction of work</w:t>
            </w:r>
          </w:p>
        </w:tc>
        <w:tc>
          <w:tcPr>
            <w:tcW w:type="dxa" w:w="2602"/>
            <w:tcMar>
              <w:top w:type="dxa" w:w="70"/>
              <w:left w:type="dxa" w:w="100"/>
              <w:bottom w:type="dxa" w:w="70"/>
              <w:right w:type="dxa" w:w="100"/>
            </w:tcMar>
            <w:vAlign w:val="center"/>
          </w:tcPr>
          <w:p>
            <w:pPr>
              <w:spacing w:after="0" w:line="240"/>
              <w:jc w:val="left"/>
            </w:pPr>
          </w:p>
        </w:tc>
        <w:tc>
          <w:tcPr>
            <w:tcW w:type="dxa" w:w="260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Reporting incidents to the Supplier</w:t>
            </w:r>
          </w:p>
        </w:tc>
        <w:tc>
          <w:tcPr>
            <w:tcW w:type="dxa" w:w="2602"/>
            <w:tcMar>
              <w:top w:type="dxa" w:w="70"/>
              <w:left w:type="dxa" w:w="100"/>
              <w:bottom w:type="dxa" w:w="70"/>
              <w:right w:type="dxa" w:w="100"/>
            </w:tcMar>
            <w:vAlign w:val="center"/>
          </w:tcPr>
          <w:p>
            <w:pPr>
              <w:spacing w:after="0" w:line="240"/>
              <w:jc w:val="left"/>
            </w:pPr>
          </w:p>
        </w:tc>
        <w:tc>
          <w:tcPr>
            <w:tcW w:type="dxa" w:w="260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Safety is yours in practice.</w:t>
      </w:r>
      <w:r>
        <w:rPr>
          <w:rFonts w:ascii="Calibri" w:cs="Calibri" w:eastAsia="Calibri" w:hAnsi="Calibri"/>
          <w:sz w:val="21"/>
          <w:szCs w:val="21"/>
        </w:rPr>
        <w:t xml:space="preserve"> You control the site, the work and the conditions. A worker injured on your premises is your incident to prevent, report and investigate, whoever employs them.</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Do not discipline or dismiss a supplied worker.</w:t>
      </w:r>
      <w:r>
        <w:rPr>
          <w:rFonts w:ascii="Calibri" w:cs="Calibri" w:eastAsia="Calibri" w:hAnsi="Calibri"/>
          <w:sz w:val="21"/>
          <w:szCs w:val="21"/>
        </w:rPr>
        <w:t xml:space="preserve"> Raise the concern with the Supplier. Acting as the employer is how a supply arrangement becomes an employment relationship in substance.</w:t>
      </w:r>
    </w:p>
    <w:p>
      <w:pPr>
        <w:keepNext/>
        <w:spacing w:after="120" w:before="280"/>
        <w:outlineLvl w:val="0"/>
      </w:pPr>
      <w:r>
        <w:rPr>
          <w:rFonts w:ascii="Calibri" w:cs="Calibri" w:eastAsia="Calibri" w:hAnsi="Calibri"/>
          <w:b/>
          <w:bCs/>
          <w:color w:val="14161B"/>
          <w:sz w:val="22"/>
          <w:szCs w:val="22"/>
        </w:rPr>
        <w:t xml:space="preserve">3. CONTRACT TERMS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Supplier warrants that it holds a </w:t>
      </w:r>
      <w:r>
        <w:rPr>
          <w:rFonts w:ascii="Calibri" w:cs="Calibri" w:eastAsia="Calibri" w:hAnsi="Calibri"/>
          <w:b/>
          <w:bCs/>
          <w:sz w:val="21"/>
          <w:szCs w:val="21"/>
        </w:rPr>
        <w:t xml:space="preserve">valid licence for manpower supply</w:t>
      </w:r>
      <w:r>
        <w:rPr>
          <w:rFonts w:ascii="Calibri" w:cs="Calibri" w:eastAsia="Calibri" w:hAnsi="Calibri"/>
          <w:sz w:val="21"/>
          <w:szCs w:val="21"/>
        </w:rPr>
        <w:t xml:space="preserve">, and shall provide a copy on request and on renewal.</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Supplier warrants that every worker supplied:</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holds a </w:t>
      </w:r>
      <w:r>
        <w:rPr>
          <w:rFonts w:ascii="Calibri" w:cs="Calibri" w:eastAsia="Calibri" w:hAnsi="Calibri"/>
          <w:b/>
          <w:bCs/>
          <w:sz w:val="21"/>
          <w:szCs w:val="21"/>
        </w:rPr>
        <w:t xml:space="preserve">valid work permit and residence visa</w:t>
      </w:r>
      <w:r>
        <w:rPr>
          <w:rFonts w:ascii="Calibri" w:cs="Calibri" w:eastAsia="Calibri" w:hAnsi="Calibri"/>
          <w:sz w:val="21"/>
          <w:szCs w:val="21"/>
        </w:rPr>
        <w:t xml:space="preserve"> with the Supplier;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holds a permit job title consistent with the work performed;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is paid in full and on time </w:t>
      </w:r>
      <w:r>
        <w:rPr>
          <w:rFonts w:ascii="Calibri" w:cs="Calibri" w:eastAsia="Calibri" w:hAnsi="Calibri"/>
          <w:b/>
          <w:bCs/>
          <w:sz w:val="21"/>
          <w:szCs w:val="21"/>
        </w:rPr>
        <w:t xml:space="preserve">through WPS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has </w:t>
      </w:r>
      <w:r>
        <w:rPr>
          <w:rFonts w:ascii="Calibri" w:cs="Calibri" w:eastAsia="Calibri" w:hAnsi="Calibri"/>
          <w:b/>
          <w:bCs/>
          <w:sz w:val="21"/>
          <w:szCs w:val="21"/>
        </w:rPr>
        <w:t xml:space="preserve">health insurance</w:t>
      </w:r>
      <w:r>
        <w:rPr>
          <w:rFonts w:ascii="Calibri" w:cs="Calibri" w:eastAsia="Calibri" w:hAnsi="Calibri"/>
          <w:sz w:val="21"/>
          <w:szCs w:val="21"/>
        </w:rPr>
        <w:t xml:space="preserve"> in force;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has not been charged any fee</w:t>
      </w:r>
      <w:r>
        <w:rPr>
          <w:rFonts w:ascii="Calibri" w:cs="Calibri" w:eastAsia="Calibri" w:hAnsi="Calibri"/>
          <w:sz w:val="21"/>
          <w:szCs w:val="21"/>
        </w:rPr>
        <w:t xml:space="preserve"> for recruitment, permit, visa, medical or Emirates ID;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retains possession of their own passport.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Supplier shall provide, on request, </w:t>
      </w:r>
      <w:r>
        <w:rPr>
          <w:rFonts w:ascii="Calibri" w:cs="Calibri" w:eastAsia="Calibri" w:hAnsi="Calibri"/>
          <w:b/>
          <w:bCs/>
          <w:sz w:val="21"/>
          <w:szCs w:val="21"/>
        </w:rPr>
        <w:t xml:space="preserve">evidence of WPS payment</w:t>
      </w:r>
      <w:r>
        <w:rPr>
          <w:rFonts w:ascii="Calibri" w:cs="Calibri" w:eastAsia="Calibri" w:hAnsi="Calibri"/>
          <w:sz w:val="21"/>
          <w:szCs w:val="21"/>
        </w:rPr>
        <w:t xml:space="preserve"> for the workers supplied.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Supplier shall maintain work injury and public liability insurance and provide evidence.</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Supplier indemnifies the Client against claims arising from its employment of the workers, and against any claim that the Client is their employer.</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The Client may terminate immediately where the Supplier loses its licence, fails to pay wages, or breaches Clause 3.2.</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MONITORING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6264"/>
        <w:gridCol w:w="2893"/>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62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Supplier licence current and covers manpower supply</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Sample worker permits against those on site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Quarterly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Evidence of WPS payment obtained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Quarterly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Health insurance in force for workers on site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certificates refreshed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Speak to workers directly about fees and passports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Periodically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Accommodation inspected where the Supplier provides it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Site safety induction records complete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Incidents reported to the Supplier and recorded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incident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Headcount on site reconciled to the invoice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Check 6 is uncomfortable and it is the only one that actually finds the problem. Fee-charging and passport retention are invisible in documentation and obvious to the workers. Ask them, through someone who speaks their language.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Reconcile headcount to the invoice monthly.</w:t>
      </w:r>
      <w:r>
        <w:rPr>
          <w:rFonts w:ascii="Calibri" w:cs="Calibri" w:eastAsia="Calibri" w:hAnsi="Calibri"/>
          <w:sz w:val="21"/>
          <w:szCs w:val="21"/>
        </w:rPr>
        <w:t xml:space="preserve"> Paying for more workers than are on site is common, and it is discovered only by counting.</w:t>
      </w:r>
    </w:p>
    <w:p>
      <w:pPr>
        <w:keepNext/>
        <w:spacing w:after="120" w:before="280"/>
        <w:outlineLvl w:val="0"/>
      </w:pPr>
      <w:r>
        <w:rPr>
          <w:rFonts w:ascii="Calibri" w:cs="Calibri" w:eastAsia="Calibri" w:hAnsi="Calibri"/>
          <w:b/>
          <w:bCs/>
          <w:color w:val="14161B"/>
          <w:sz w:val="22"/>
          <w:szCs w:val="22"/>
        </w:rPr>
        <w:t xml:space="preserve">5. WHERE IT BECOMES EMPLOYMENT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Client behaviour</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Effect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Directing day-to-day work at your site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Normal and expected</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Setting the shift pattern for site operations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Normal</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Setting their pay or benefits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 to employment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Disciplining or dismissing them</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 to employment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Hiring and selecting individuals yourself</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 to employment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Giving them company email and job titles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Points to employment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Long-term, full-time, exclusive engagement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Points to employment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Appraising them like staff</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Points to employment</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Where several of these apply, the arrangement is an employment relationship dressed as a supply contract — and the permit position is then wrong, because the person is working for an entity that does not hold their permit.</w:t>
      </w:r>
    </w:p>
    <w:p>
      <w:pPr>
        <w:keepNext/>
        <w:spacing w:after="120" w:before="280"/>
        <w:outlineLvl w:val="0"/>
      </w:pPr>
      <w:r>
        <w:rPr>
          <w:rFonts w:ascii="Calibri" w:cs="Calibri" w:eastAsia="Calibri" w:hAnsi="Calibri"/>
          <w:b/>
          <w:bCs/>
          <w:color w:val="14161B"/>
          <w:sz w:val="22"/>
          <w:szCs w:val="22"/>
        </w:rPr>
        <w:t xml:space="preserve">6. IF SOMETHING GOES WRONG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Situation</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Workers report unpaid wages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Take it seriously immediately</w:t>
            </w:r>
            <w:r>
              <w:rPr>
                <w:rFonts w:ascii="Calibri" w:cs="Calibri" w:eastAsia="Calibri" w:hAnsi="Calibri"/>
                <w:sz w:val="18"/>
                <w:szCs w:val="18"/>
              </w:rPr>
              <w:t xml:space="preserve"> — raise with the Supplier, require WPS evidence, escalate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Workers report fees charged to them</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Investigate; it is unlawful; consider terminating the Supplier</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Passports held by the Supplier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 immediate return; prohibited</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Permits invalid or mismatched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Remove from site until resolved</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Injury on site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Your incident — make safe, report, notify the Supplier and insurers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Supplier loses its licence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Workers cannot lawfully continue — stop and reassess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Supplier insolvent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Workers may go unpaid</w:t>
            </w:r>
            <w:r>
              <w:rPr>
                <w:rFonts w:ascii="Calibri" w:cs="Calibri" w:eastAsia="Calibri" w:hAnsi="Calibri"/>
                <w:sz w:val="18"/>
                <w:szCs w:val="18"/>
              </w:rPr>
              <w:t xml:space="preserve"> — take advice; the reputational exposure is yours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Outsourcing labour does not outsource the exposure</w:t>
      </w:r>
    </w:p>
    <w:p>
      <w:pPr>
        <w:spacing w:after="60" w:line="264"/>
        <w:jc w:val="both"/>
      </w:pPr>
      <w:r>
        <w:rPr>
          <w:rFonts w:ascii="Calibri" w:cs="Calibri" w:eastAsia="Calibri" w:hAnsi="Calibri"/>
          <w:sz w:val="19"/>
          <w:szCs w:val="19"/>
        </w:rPr>
        <w:t xml:space="preserve">The workers are on someone else’s permit but working at your site under your direction. If wages go unpaid, permits are invalid or the supplier is unlicensed, the consequences reach you commercially and reputationally, and sometimes legally.</w:t>
      </w:r>
    </w:p>
    <w:p>
      <w:pPr>
        <w:keepNext/>
        <w:spacing w:after="40" w:before="140"/>
      </w:pPr>
      <w:r>
        <w:rPr>
          <w:rFonts w:ascii="Calibri" w:cs="Calibri" w:eastAsia="Calibri" w:hAnsi="Calibri"/>
          <w:b/>
          <w:bCs/>
          <w:color w:val="14161B"/>
          <w:sz w:val="20"/>
          <w:szCs w:val="20"/>
        </w:rPr>
        <w:t xml:space="preserve">Check the supplier is licensed for manpower supply specifically</w:t>
      </w:r>
    </w:p>
    <w:p>
      <w:pPr>
        <w:spacing w:after="60" w:line="264"/>
        <w:jc w:val="both"/>
      </w:pPr>
      <w:r>
        <w:rPr>
          <w:rFonts w:ascii="Calibri" w:cs="Calibri" w:eastAsia="Calibri" w:hAnsi="Calibri"/>
          <w:sz w:val="19"/>
          <w:szCs w:val="19"/>
        </w:rPr>
        <w:t xml:space="preserve">It is a distinct activity. A general contracting or services licence does not cover supplying labour, and engaging an unlicensed supplier puts the whole arrangement outside the permitted framework.</w:t>
      </w:r>
    </w:p>
    <w:p>
      <w:pPr>
        <w:keepNext/>
        <w:spacing w:after="40" w:before="140"/>
      </w:pPr>
      <w:r>
        <w:rPr>
          <w:rFonts w:ascii="Calibri" w:cs="Calibri" w:eastAsia="Calibri" w:hAnsi="Calibri"/>
          <w:b/>
          <w:bCs/>
          <w:color w:val="14161B"/>
          <w:sz w:val="20"/>
          <w:szCs w:val="20"/>
        </w:rPr>
        <w:t xml:space="preserve">Ask for WPS evidence, not assurance</w:t>
      </w:r>
    </w:p>
    <w:p>
      <w:pPr>
        <w:spacing w:after="60" w:line="264"/>
        <w:jc w:val="both"/>
      </w:pPr>
      <w:r>
        <w:rPr>
          <w:rFonts w:ascii="Calibri" w:cs="Calibri" w:eastAsia="Calibri" w:hAnsi="Calibri"/>
          <w:sz w:val="19"/>
          <w:szCs w:val="19"/>
        </w:rPr>
        <w:t xml:space="preserve">A supplier confirming that it pays its workers is worth little. Evidence of actual WPS submission and payment for the workers on your site is checkable, and requesting it quarterly changes behaviour.</w:t>
      </w:r>
    </w:p>
    <w:p>
      <w:pPr>
        <w:keepNext/>
        <w:spacing w:after="40" w:before="140"/>
      </w:pPr>
      <w:r>
        <w:rPr>
          <w:rFonts w:ascii="Calibri" w:cs="Calibri" w:eastAsia="Calibri" w:hAnsi="Calibri"/>
          <w:b/>
          <w:bCs/>
          <w:color w:val="14161B"/>
          <w:sz w:val="20"/>
          <w:szCs w:val="20"/>
        </w:rPr>
        <w:t xml:space="preserve">Ask the workers directly about fees and passports</w:t>
      </w:r>
    </w:p>
    <w:p>
      <w:pPr>
        <w:spacing w:after="60" w:line="264"/>
        <w:jc w:val="both"/>
      </w:pPr>
      <w:r>
        <w:rPr>
          <w:rFonts w:ascii="Calibri" w:cs="Calibri" w:eastAsia="Calibri" w:hAnsi="Calibri"/>
          <w:sz w:val="19"/>
          <w:szCs w:val="19"/>
        </w:rPr>
        <w:t xml:space="preserve">Charging recruitment or permit fees to workers and retaining passports are both unlawful, both invisible in documentation, and both obvious to the workers themselves. Ask them, through someone who speaks their language. It is the only check that finds this.</w:t>
      </w:r>
    </w:p>
    <w:p>
      <w:pPr>
        <w:keepNext/>
        <w:spacing w:after="40" w:before="140"/>
      </w:pPr>
      <w:r>
        <w:rPr>
          <w:rFonts w:ascii="Calibri" w:cs="Calibri" w:eastAsia="Calibri" w:hAnsi="Calibri"/>
          <w:b/>
          <w:bCs/>
          <w:color w:val="14161B"/>
          <w:sz w:val="20"/>
          <w:szCs w:val="20"/>
        </w:rPr>
        <w:t xml:space="preserve">Safety is yours in practice</w:t>
      </w:r>
    </w:p>
    <w:p>
      <w:pPr>
        <w:spacing w:after="60" w:line="264"/>
        <w:jc w:val="both"/>
      </w:pPr>
      <w:r>
        <w:rPr>
          <w:rFonts w:ascii="Calibri" w:cs="Calibri" w:eastAsia="Calibri" w:hAnsi="Calibri"/>
          <w:sz w:val="19"/>
          <w:szCs w:val="19"/>
        </w:rPr>
        <w:t xml:space="preserve">You control the site, the work and the conditions. A worker injured on your premises is your incident to prevent, report and investigate regardless of who employs them, and the midday ban applies at your site.</w:t>
      </w:r>
    </w:p>
    <w:p>
      <w:pPr>
        <w:keepNext/>
        <w:spacing w:after="40" w:before="140"/>
      </w:pPr>
      <w:r>
        <w:rPr>
          <w:rFonts w:ascii="Calibri" w:cs="Calibri" w:eastAsia="Calibri" w:hAnsi="Calibri"/>
          <w:b/>
          <w:bCs/>
          <w:color w:val="14161B"/>
          <w:sz w:val="20"/>
          <w:szCs w:val="20"/>
        </w:rPr>
        <w:t xml:space="preserve">Do not discipline or dismiss supplied workers</w:t>
      </w:r>
    </w:p>
    <w:p>
      <w:pPr>
        <w:spacing w:after="60" w:line="264"/>
        <w:jc w:val="both"/>
      </w:pPr>
      <w:r>
        <w:rPr>
          <w:rFonts w:ascii="Calibri" w:cs="Calibri" w:eastAsia="Calibri" w:hAnsi="Calibri"/>
          <w:sz w:val="19"/>
          <w:szCs w:val="19"/>
        </w:rPr>
        <w:t xml:space="preserve">Raise concerns with the supplier and let them act. Disciplining, dismissing or selecting individuals yourself is how a supply arrangement becomes an employment relationship in substance, at which point the permit position is wrong.</w:t>
      </w:r>
    </w:p>
    <w:p>
      <w:pPr>
        <w:keepNext/>
        <w:spacing w:after="40" w:before="140"/>
      </w:pPr>
      <w:r>
        <w:rPr>
          <w:rFonts w:ascii="Calibri" w:cs="Calibri" w:eastAsia="Calibri" w:hAnsi="Calibri"/>
          <w:b/>
          <w:bCs/>
          <w:color w:val="14161B"/>
          <w:sz w:val="20"/>
          <w:szCs w:val="20"/>
        </w:rPr>
        <w:t xml:space="preserve">Watch the drift towards employment</w:t>
      </w:r>
    </w:p>
    <w:p>
      <w:pPr>
        <w:spacing w:after="60" w:line="264"/>
        <w:jc w:val="both"/>
      </w:pPr>
      <w:r>
        <w:rPr>
          <w:rFonts w:ascii="Calibri" w:cs="Calibri" w:eastAsia="Calibri" w:hAnsi="Calibri"/>
          <w:sz w:val="19"/>
          <w:szCs w:val="19"/>
        </w:rPr>
        <w:t xml:space="preserve">Setting pay, appraising, giving company email and titles, and long-term exclusive engagement all point one way. Where several apply, the person is effectively working for an entity that does not hold their permit.</w:t>
      </w:r>
    </w:p>
    <w:p>
      <w:pPr>
        <w:keepNext/>
        <w:spacing w:after="40" w:before="140"/>
      </w:pPr>
      <w:r>
        <w:rPr>
          <w:rFonts w:ascii="Calibri" w:cs="Calibri" w:eastAsia="Calibri" w:hAnsi="Calibri"/>
          <w:b/>
          <w:bCs/>
          <w:color w:val="14161B"/>
          <w:sz w:val="20"/>
          <w:szCs w:val="20"/>
        </w:rPr>
        <w:t xml:space="preserve">Reconcile headcount to the invoice monthly</w:t>
      </w:r>
    </w:p>
    <w:p>
      <w:pPr>
        <w:spacing w:after="60" w:line="264"/>
        <w:jc w:val="both"/>
      </w:pPr>
      <w:r>
        <w:rPr>
          <w:rFonts w:ascii="Calibri" w:cs="Calibri" w:eastAsia="Calibri" w:hAnsi="Calibri"/>
          <w:sz w:val="19"/>
          <w:szCs w:val="19"/>
        </w:rPr>
        <w:t xml:space="preserve">Paying for more workers than are actually on site is common and is discovered only by counting. It is also the check that reveals when workers have quietly left without being replaced.</w:t>
      </w:r>
    </w:p>
    <w:p>
      <w:pPr>
        <w:keepNext/>
        <w:spacing w:after="40" w:before="140"/>
      </w:pPr>
      <w:r>
        <w:rPr>
          <w:rFonts w:ascii="Calibri" w:cs="Calibri" w:eastAsia="Calibri" w:hAnsi="Calibri"/>
          <w:b/>
          <w:bCs/>
          <w:color w:val="14161B"/>
          <w:sz w:val="20"/>
          <w:szCs w:val="20"/>
        </w:rPr>
        <w:t xml:space="preserve">Inspect accommodation where the supplier provides it</w:t>
      </w:r>
    </w:p>
    <w:p>
      <w:pPr>
        <w:spacing w:after="60" w:line="264"/>
        <w:jc w:val="both"/>
      </w:pPr>
      <w:r>
        <w:rPr>
          <w:rFonts w:ascii="Calibri" w:cs="Calibri" w:eastAsia="Calibri" w:hAnsi="Calibri"/>
          <w:sz w:val="19"/>
          <w:szCs w:val="19"/>
        </w:rPr>
        <w:t xml:space="preserve">Worker accommodation standards are both a legal and a reputational matter, and a client is judged by the conditions of the people working on its site. An annual inspection is not intrusive; it is due diligence.</w:t>
      </w:r>
    </w:p>
    <w:p>
      <w:pPr>
        <w:keepNext/>
        <w:spacing w:after="40" w:before="140"/>
      </w:pPr>
      <w:r>
        <w:rPr>
          <w:rFonts w:ascii="Calibri" w:cs="Calibri" w:eastAsia="Calibri" w:hAnsi="Calibri"/>
          <w:b/>
          <w:bCs/>
          <w:color w:val="14161B"/>
          <w:sz w:val="20"/>
          <w:szCs w:val="20"/>
        </w:rPr>
        <w:t xml:space="preserve">Check the supplier’s own compliance record</w:t>
      </w:r>
    </w:p>
    <w:p>
      <w:pPr>
        <w:spacing w:after="60" w:line="264"/>
        <w:jc w:val="both"/>
      </w:pPr>
      <w:r>
        <w:rPr>
          <w:rFonts w:ascii="Calibri" w:cs="Calibri" w:eastAsia="Calibri" w:hAnsi="Calibri"/>
          <w:sz w:val="19"/>
          <w:szCs w:val="19"/>
        </w:rPr>
        <w:t xml:space="preserve">A supplier with permit bans or wage penalties will pass those problems to you as an interruption of supply. Check before engaging and periodically after.</w:t>
      </w:r>
    </w:p>
    <w:p>
      <w:pPr>
        <w:keepNext/>
        <w:spacing w:after="40" w:before="140"/>
      </w:pPr>
      <w:r>
        <w:rPr>
          <w:rFonts w:ascii="Calibri" w:cs="Calibri" w:eastAsia="Calibri" w:hAnsi="Calibri"/>
          <w:b/>
          <w:bCs/>
          <w:color w:val="14161B"/>
          <w:sz w:val="20"/>
          <w:szCs w:val="20"/>
        </w:rPr>
        <w:t xml:space="preserve">Get the indemnity, and understand its limits</w:t>
      </w:r>
    </w:p>
    <w:p>
      <w:pPr>
        <w:spacing w:after="60" w:line="264"/>
        <w:jc w:val="both"/>
      </w:pPr>
      <w:r>
        <w:rPr>
          <w:rFonts w:ascii="Calibri" w:cs="Calibri" w:eastAsia="Calibri" w:hAnsi="Calibri"/>
          <w:sz w:val="19"/>
          <w:szCs w:val="19"/>
        </w:rPr>
        <w:t xml:space="preserve">An indemnity against claims that you are the employer is worth having, but an indemnity from an insolvent supplier is worth nothing and it does not answer a regulatory finding or a reputational problem.</w:t>
      </w:r>
    </w:p>
    <w:p>
      <w:pPr>
        <w:keepNext/>
        <w:spacing w:after="40" w:before="140"/>
      </w:pPr>
      <w:r>
        <w:rPr>
          <w:rFonts w:ascii="Calibri" w:cs="Calibri" w:eastAsia="Calibri" w:hAnsi="Calibri"/>
          <w:b/>
          <w:bCs/>
          <w:color w:val="14161B"/>
          <w:sz w:val="20"/>
          <w:szCs w:val="20"/>
        </w:rPr>
        <w:t xml:space="preserve">Supplier insolvency leaves workers unpaid</w:t>
      </w:r>
    </w:p>
    <w:p>
      <w:pPr>
        <w:spacing w:after="60" w:line="264"/>
        <w:jc w:val="both"/>
      </w:pPr>
      <w:r>
        <w:rPr>
          <w:rFonts w:ascii="Calibri" w:cs="Calibri" w:eastAsia="Calibri" w:hAnsi="Calibri"/>
          <w:sz w:val="19"/>
          <w:szCs w:val="19"/>
        </w:rPr>
        <w:t xml:space="preserve">And they are on your site. The commercial claim is between you and the supplier; the human and reputational consequence is immediate and visible. Monitor the supplier’s stability, not just its paperwork.</w:t>
      </w:r>
    </w:p>
    <w:p>
      <w:pPr>
        <w:keepNext/>
        <w:spacing w:after="40" w:before="140"/>
      </w:pPr>
      <w:r>
        <w:rPr>
          <w:rFonts w:ascii="Calibri" w:cs="Calibri" w:eastAsia="Calibri" w:hAnsi="Calibri"/>
          <w:b/>
          <w:bCs/>
          <w:color w:val="14161B"/>
          <w:sz w:val="20"/>
          <w:szCs w:val="20"/>
        </w:rPr>
        <w:t xml:space="preserve">Price connected-party supply at arm’s length</w:t>
      </w:r>
    </w:p>
    <w:p>
      <w:pPr>
        <w:spacing w:after="60" w:line="264"/>
        <w:jc w:val="both"/>
      </w:pPr>
      <w:r>
        <w:rPr>
          <w:rFonts w:ascii="Calibri" w:cs="Calibri" w:eastAsia="Calibri" w:hAnsi="Calibri"/>
          <w:sz w:val="19"/>
          <w:szCs w:val="19"/>
        </w:rPr>
        <w:t xml:space="preserve">Where the manpower supplier is a group company, the charge is a related party transaction requiring arm’s length pricing and documentation, and for a free zone supplier it may be non-qualifying revenue.</w:t>
      </w:r>
    </w:p>
    <w:p>
      <w:pPr>
        <w:keepNext/>
        <w:spacing w:after="40" w:before="140"/>
      </w:pPr>
      <w:r>
        <w:rPr>
          <w:rFonts w:ascii="Calibri" w:cs="Calibri" w:eastAsia="Calibri" w:hAnsi="Calibri"/>
          <w:b/>
          <w:bCs/>
          <w:color w:val="14161B"/>
          <w:sz w:val="20"/>
          <w:szCs w:val="20"/>
        </w:rPr>
        <w:t xml:space="preserve">Act immediately on a wage complaint</w:t>
      </w:r>
    </w:p>
    <w:p>
      <w:pPr>
        <w:spacing w:after="60" w:line="264"/>
        <w:jc w:val="both"/>
      </w:pPr>
      <w:r>
        <w:rPr>
          <w:rFonts w:ascii="Calibri" w:cs="Calibri" w:eastAsia="Calibri" w:hAnsi="Calibri"/>
          <w:sz w:val="19"/>
          <w:szCs w:val="19"/>
        </w:rPr>
        <w:t xml:space="preserve">Unpaid wages reported by workers on your site is the most serious thing in this document. Raise it, require evidence, and escalate. Treating it as the supplier’s problem to resolve in due course is not an adequate response.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Manpower supply licensing, permit requirements, WPS rules, the prohibition on charging workers fees, passport retention rules, accommodation standards and safety obligations all change — confirm with MOHRE before engaging a labour supplier.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2026-08-23T16:28:33.444Z</dcterms:created>
  <dcterms:modified xsi:type="dcterms:W3CDTF">2026-08-23T16:28:33.444Z</dcterms:modified>
</cp:coreProperties>
</file>

<file path=docProps/custom.xml><?xml version="1.0" encoding="utf-8"?>
<Properties xmlns="http://schemas.openxmlformats.org/officeDocument/2006/custom-properties" xmlns:vt="http://schemas.openxmlformats.org/officeDocument/2006/docPropsVTypes"/>
</file>