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OFFER OF EMPLOYMENT</w:t>
      </w:r>
    </w:p>
    <w:p>
      <w:pPr>
        <w:spacing w:after="260"/>
        <w:jc w:val="center"/>
      </w:pPr>
      <w:r>
        <w:rPr>
          <w:rFonts w:ascii="Calibri" w:cs="Calibri" w:eastAsia="Calibri" w:hAnsi="Calibri"/>
          <w:i/>
          <w:iCs/>
          <w:color w:val="6E7480"/>
          <w:sz w:val="19"/>
          <w:szCs w:val="19"/>
        </w:rPr>
        <w:t xml:space="preserve">And the MOHRE job offer that follows it</w:t>
      </w:r>
    </w:p>
    <w:p>
      <w:pPr>
        <w:spacing w:after="180" w:before="0" w:line="276"/>
        <w:jc w:val="both"/>
      </w:pPr>
      <w:r>
        <w:rPr>
          <w:rFonts w:ascii="Calibri" w:cs="Calibri" w:eastAsia="Calibri" w:hAnsi="Calibri"/>
          <w:i/>
          <w:iCs/>
          <w:color w:val="6E7480"/>
          <w:sz w:val="21"/>
          <w:szCs w:val="21"/>
        </w:rPr>
        <w:t xml:space="preserve">There are two documents here and they must agree. The commercial offer sets out the package; the </w:t>
      </w:r>
      <w:r>
        <w:rPr>
          <w:rFonts w:ascii="Calibri" w:cs="Calibri" w:eastAsia="Calibri" w:hAnsi="Calibri"/>
          <w:b/>
          <w:bCs/>
          <w:i/>
          <w:iCs/>
          <w:color w:val="6E7480"/>
          <w:sz w:val="21"/>
          <w:szCs w:val="21"/>
        </w:rPr>
        <w:t xml:space="preserve">MOHRE job offer</w:t>
      </w:r>
      <w:r>
        <w:rPr>
          <w:rFonts w:ascii="Calibri" w:cs="Calibri" w:eastAsia="Calibri" w:hAnsi="Calibri"/>
          <w:i/>
          <w:iCs/>
          <w:color w:val="6E7480"/>
          <w:sz w:val="21"/>
          <w:szCs w:val="21"/>
        </w:rPr>
        <w:t xml:space="preserve"> is the standard form the candidate signs, which becomes the basis of the work permit and then the registered contract. Where the two differ, the candidate has a legitimate grievance and the employer has a compliance problem.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MOHRE / Free zone — zone authority]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Candidate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Job title (as it will appear on the permit)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Basic salary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per month — </w:t>
            </w:r>
            <w:r>
              <w:rPr>
                <w:rFonts w:ascii="Calibri" w:cs="Calibri" w:eastAsia="Calibri" w:hAnsi="Calibri"/>
                <w:i/>
                <w:iCs/>
                <w:sz w:val="19"/>
                <w:szCs w:val="19"/>
              </w:rPr>
              <w:t xml:space="preserve">the gratuity base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Allowances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per month</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salary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per month</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Contract term</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 or 3]</w:t>
            </w:r>
            <w:r>
              <w:rPr>
                <w:rFonts w:ascii="Calibri" w:cs="Calibri" w:eastAsia="Calibri" w:hAnsi="Calibri"/>
                <w:sz w:val="19"/>
                <w:szCs w:val="19"/>
              </w:rPr>
              <w:t xml:space="preserve"> years, fixed — renewable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Probation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months — maximum 6</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after probation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[30–90]</w:t>
            </w:r>
            <w:r>
              <w:rPr>
                <w:rFonts w:ascii="Calibri" w:cs="Calibri" w:eastAsia="Calibri" w:hAnsi="Calibri"/>
                <w:sz w:val="19"/>
                <w:szCs w:val="19"/>
              </w:rPr>
              <w:t xml:space="preserve"> days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Offer valid until</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Quota confirmed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YOU SEND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855"/>
        <w:gridCol w:w="3855"/>
        <w:gridCol w:w="154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Visa quota confirmed available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 offer that cannot be permitted has to be withdrawn</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Job title matches a licensed activity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Mismatch produces permit refusal</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Skill level determined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Affects permit category and grace period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Basic-to-allowance split decided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Drives gratuity for the whole employment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Candidate’s current UAE status established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differs from overseas recruitment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Qualification attestation started where required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Takes weeks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Emiratisation impact considered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skilled non-Emirati hire raises the quota base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Full cost modelled including permit, visa, insurance, gratuity accrual</w:t>
            </w:r>
          </w:p>
        </w:tc>
        <w:tc>
          <w:tcPr>
            <w:tcW w:type="dxa" w:w="3855"/>
            <w:tcMar>
              <w:top w:type="dxa" w:w="70"/>
              <w:left w:type="dxa" w:w="100"/>
              <w:bottom w:type="dxa" w:w="70"/>
              <w:right w:type="dxa" w:w="100"/>
            </w:tcMar>
            <w:vAlign w:val="center"/>
          </w:tcPr>
          <w:p>
            <w:pPr>
              <w:spacing w:after="0" w:line="240"/>
              <w:jc w:val="left"/>
            </w:pP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2. OFFER LETTER</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40" w:before="0" w:line="276"/>
        <w:jc w:val="both"/>
      </w:pPr>
      <w:r>
        <w:rPr>
          <w:rFonts w:ascii="Calibri" w:cs="Calibri" w:eastAsia="Calibri" w:hAnsi="Calibri"/>
          <w:b/>
          <w:bCs/>
          <w:sz w:val="21"/>
          <w:szCs w:val="21"/>
        </w:rPr>
        <w:t xml:space="preserve">[CANDIDATE NAME]</w:t>
      </w:r>
    </w:p>
    <w:p>
      <w:pPr>
        <w:spacing w:after="140" w:before="0" w:line="276"/>
        <w:jc w:val="both"/>
      </w:pPr>
      <w:r>
        <w:rPr>
          <w:rFonts w:ascii="Calibri" w:cs="Calibri" w:eastAsia="Calibri" w:hAnsi="Calibri"/>
          <w:b/>
          <w:bCs/>
          <w:sz w:val="21"/>
          <w:szCs w:val="21"/>
        </w:rPr>
        <w:t xml:space="preserve">[ADDRESS]</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Offer of employment —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We are pleased to offer you employment with </w:t>
      </w:r>
      <w:r>
        <w:rPr>
          <w:rFonts w:ascii="Calibri" w:cs="Calibri" w:eastAsia="Calibri" w:hAnsi="Calibri"/>
          <w:b/>
          <w:bCs/>
          <w:sz w:val="21"/>
          <w:szCs w:val="21"/>
        </w:rPr>
        <w:t xml:space="preserve">[COMPANY NAME]</w:t>
      </w:r>
      <w:r>
        <w:rPr>
          <w:rFonts w:ascii="Calibri" w:cs="Calibri" w:eastAsia="Calibri" w:hAnsi="Calibri"/>
          <w:sz w:val="21"/>
          <w:szCs w:val="21"/>
        </w:rPr>
        <w:t xml:space="preserve"> as </w:t>
      </w:r>
      <w:r>
        <w:rPr>
          <w:rFonts w:ascii="Calibri" w:cs="Calibri" w:eastAsia="Calibri" w:hAnsi="Calibri"/>
          <w:b/>
          <w:bCs/>
          <w:sz w:val="21"/>
          <w:szCs w:val="21"/>
        </w:rPr>
        <w:t xml:space="preserve">[JOB TITLE]</w:t>
      </w:r>
      <w:r>
        <w:rPr>
          <w:rFonts w:ascii="Calibri" w:cs="Calibri" w:eastAsia="Calibri" w:hAnsi="Calibri"/>
          <w:sz w:val="21"/>
          <w:szCs w:val="21"/>
        </w:rPr>
        <w:t xml:space="preserve">, reporting to </w:t>
      </w:r>
      <w:r>
        <w:rPr>
          <w:rFonts w:ascii="Calibri" w:cs="Calibri" w:eastAsia="Calibri" w:hAnsi="Calibri"/>
          <w:b/>
          <w:bCs/>
          <w:sz w:val="21"/>
          <w:szCs w:val="21"/>
        </w:rPr>
        <w:t xml:space="preserve">[NAME]</w:t>
      </w:r>
      <w:r>
        <w:rPr>
          <w:rFonts w:ascii="Calibri" w:cs="Calibri" w:eastAsia="Calibri" w:hAnsi="Calibri"/>
          <w:sz w:val="21"/>
          <w:szCs w:val="21"/>
        </w:rPr>
        <w:t xml:space="preserve">, based at </w:t>
      </w:r>
      <w:r>
        <w:rPr>
          <w:rFonts w:ascii="Calibri" w:cs="Calibri" w:eastAsia="Calibri" w:hAnsi="Calibri"/>
          <w:b/>
          <w:bCs/>
          <w:sz w:val="21"/>
          <w:szCs w:val="21"/>
        </w:rPr>
        <w:t xml:space="preserve">[LOCATION]</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1. Your package.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1927"/>
        <w:gridCol w:w="5013"/>
      </w:tblGrid>
      <w:tr>
        <w:trPr>
          <w:cantSplit/>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AED per month</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Basic salary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Your end-of-service gratuity is calculated on this figure alone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Housing allowance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5013"/>
            <w:tcMar>
              <w:top w:type="dxa" w:w="70"/>
              <w:left w:type="dxa" w:w="100"/>
              <w:bottom w:type="dxa" w:w="70"/>
              <w:right w:type="dxa" w:w="100"/>
            </w:tcMar>
            <w:vAlign w:val="center"/>
          </w:tcPr>
          <w:p>
            <w:pPr>
              <w:spacing w:after="0" w:line="240"/>
              <w:jc w:val="left"/>
            </w:pP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Transport allowance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5013"/>
            <w:tcMar>
              <w:top w:type="dxa" w:w="70"/>
              <w:left w:type="dxa" w:w="100"/>
              <w:bottom w:type="dxa" w:w="70"/>
              <w:right w:type="dxa" w:w="100"/>
            </w:tcMar>
            <w:vAlign w:val="center"/>
          </w:tcPr>
          <w:p>
            <w:pPr>
              <w:spacing w:after="0" w:line="240"/>
              <w:jc w:val="left"/>
            </w:pP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5013"/>
            <w:tcMar>
              <w:top w:type="dxa" w:w="70"/>
              <w:left w:type="dxa" w:w="100"/>
              <w:bottom w:type="dxa" w:w="70"/>
              <w:right w:type="dxa" w:w="100"/>
            </w:tcMar>
            <w:vAlign w:val="center"/>
          </w:tcPr>
          <w:p>
            <w:pPr>
              <w:spacing w:after="0" w:line="240"/>
              <w:jc w:val="left"/>
            </w:pP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Paid monthly through the Wage Protection System</w:t>
            </w:r>
          </w:p>
        </w:tc>
      </w:tr>
    </w:tbl>
    <w:p>
      <w:pPr>
        <w:spacing w:after="140"/>
      </w:pPr>
    </w:p>
    <w:p>
      <w:pPr>
        <w:spacing w:after="120" w:before="0" w:line="276"/>
        <w:jc w:val="both"/>
      </w:pPr>
      <w:r>
        <w:rPr>
          <w:rFonts w:ascii="Calibri" w:cs="Calibri" w:eastAsia="Calibri" w:hAnsi="Calibri"/>
          <w:b/>
          <w:bCs/>
          <w:sz w:val="21"/>
          <w:szCs w:val="21"/>
        </w:rPr>
        <w:t xml:space="preserve">2. Term.</w:t>
      </w:r>
      <w:r>
        <w:rPr>
          <w:rFonts w:ascii="Calibri" w:cs="Calibri" w:eastAsia="Calibri" w:hAnsi="Calibri"/>
          <w:sz w:val="21"/>
          <w:szCs w:val="21"/>
        </w:rPr>
        <w:t xml:space="preserve"> This is a fixed-term contract of </w:t>
      </w:r>
      <w:r>
        <w:rPr>
          <w:rFonts w:ascii="Calibri" w:cs="Calibri" w:eastAsia="Calibri" w:hAnsi="Calibri"/>
          <w:b/>
          <w:bCs/>
          <w:sz w:val="21"/>
          <w:szCs w:val="21"/>
        </w:rPr>
        <w:t xml:space="preserve">[2 or 3]</w:t>
      </w:r>
      <w:r>
        <w:rPr>
          <w:rFonts w:ascii="Calibri" w:cs="Calibri" w:eastAsia="Calibri" w:hAnsi="Calibri"/>
          <w:b/>
          <w:bCs/>
          <w:sz w:val="21"/>
          <w:szCs w:val="21"/>
        </w:rPr>
        <w:t xml:space="preserve"> years</w:t>
      </w:r>
      <w:r>
        <w:rPr>
          <w:rFonts w:ascii="Calibri" w:cs="Calibri" w:eastAsia="Calibri" w:hAnsi="Calibri"/>
          <w:sz w:val="21"/>
          <w:szCs w:val="21"/>
        </w:rPr>
        <w:t xml:space="preserve"> from your start date, renewable by agreement. All UAE employment contracts are fixed-term.</w:t>
      </w:r>
    </w:p>
    <w:p>
      <w:pPr>
        <w:spacing w:after="120" w:before="0" w:line="276"/>
        <w:jc w:val="both"/>
      </w:pPr>
      <w:r>
        <w:rPr>
          <w:rFonts w:ascii="Calibri" w:cs="Calibri" w:eastAsia="Calibri" w:hAnsi="Calibri"/>
          <w:b/>
          <w:bCs/>
          <w:sz w:val="21"/>
          <w:szCs w:val="21"/>
        </w:rPr>
        <w:t xml:space="preserve">3. Probation.</w:t>
      </w:r>
      <w:r>
        <w:rPr>
          <w:rFonts w:ascii="Calibri" w:cs="Calibri" w:eastAsia="Calibri" w:hAnsi="Calibri"/>
          <w:sz w:val="21"/>
          <w:szCs w:val="21"/>
        </w:rPr>
        <w:t xml:space="preserve"> </w:t>
      </w:r>
      <w:r>
        <w:rPr>
          <w:rFonts w:ascii="Calibri" w:cs="Calibri" w:eastAsia="Calibri" w:hAnsi="Calibri"/>
          <w:b/>
          <w:bCs/>
          <w:sz w:val="21"/>
          <w:szCs w:val="21"/>
        </w:rPr>
        <w:t xml:space="preserve">[NUMBER]</w:t>
      </w:r>
      <w:r>
        <w:rPr>
          <w:rFonts w:ascii="Calibri" w:cs="Calibri" w:eastAsia="Calibri" w:hAnsi="Calibri"/>
          <w:sz w:val="21"/>
          <w:szCs w:val="21"/>
        </w:rPr>
        <w:t xml:space="preserve"> months, during which either party may terminate on 14 days written notice, subject to the specific rules that apply if you resign during probation.</w:t>
      </w:r>
    </w:p>
    <w:p>
      <w:pPr>
        <w:spacing w:after="120" w:before="0" w:line="276"/>
        <w:jc w:val="both"/>
      </w:pPr>
      <w:r>
        <w:rPr>
          <w:rFonts w:ascii="Calibri" w:cs="Calibri" w:eastAsia="Calibri" w:hAnsi="Calibri"/>
          <w:b/>
          <w:bCs/>
          <w:sz w:val="21"/>
          <w:szCs w:val="21"/>
        </w:rPr>
        <w:t xml:space="preserve">4. Notice.</w:t>
      </w:r>
      <w:r>
        <w:rPr>
          <w:rFonts w:ascii="Calibri" w:cs="Calibri" w:eastAsia="Calibri" w:hAnsi="Calibri"/>
          <w:sz w:val="21"/>
          <w:szCs w:val="21"/>
        </w:rPr>
        <w:t xml:space="preserve"> After probation, </w:t>
      </w:r>
      <w:r>
        <w:rPr>
          <w:rFonts w:ascii="Calibri" w:cs="Calibri" w:eastAsia="Calibri" w:hAnsi="Calibri"/>
          <w:b/>
          <w:bCs/>
          <w:sz w:val="21"/>
          <w:szCs w:val="21"/>
        </w:rPr>
        <w:t xml:space="preserve">[30–90]</w:t>
      </w:r>
      <w:r>
        <w:rPr>
          <w:rFonts w:ascii="Calibri" w:cs="Calibri" w:eastAsia="Calibri" w:hAnsi="Calibri"/>
          <w:b/>
          <w:bCs/>
          <w:sz w:val="21"/>
          <w:szCs w:val="21"/>
        </w:rPr>
        <w:t xml:space="preserve"> days</w:t>
      </w:r>
      <w:r>
        <w:rPr>
          <w:rFonts w:ascii="Calibri" w:cs="Calibri" w:eastAsia="Calibri" w:hAnsi="Calibri"/>
          <w:sz w:val="21"/>
          <w:szCs w:val="21"/>
        </w:rPr>
        <w:t xml:space="preserve"> written notice by either party.</w:t>
      </w:r>
    </w:p>
    <w:p>
      <w:pPr>
        <w:spacing w:after="120" w:before="0" w:line="276"/>
        <w:jc w:val="both"/>
      </w:pPr>
      <w:r>
        <w:rPr>
          <w:rFonts w:ascii="Calibri" w:cs="Calibri" w:eastAsia="Calibri" w:hAnsi="Calibri"/>
          <w:b/>
          <w:bCs/>
          <w:sz w:val="21"/>
          <w:szCs w:val="21"/>
        </w:rPr>
        <w:t xml:space="preserve">5. Leave.</w:t>
      </w:r>
      <w:r>
        <w:rPr>
          <w:rFonts w:ascii="Calibri" w:cs="Calibri" w:eastAsia="Calibri" w:hAnsi="Calibri"/>
          <w:sz w:val="21"/>
          <w:szCs w:val="21"/>
        </w:rPr>
        <w:t xml:space="preserve"> 30 calendar days of annual leave per year, plus gazetted public holidays, sick leave and other statutory entitlements.</w:t>
      </w:r>
    </w:p>
    <w:p>
      <w:pPr>
        <w:spacing w:after="120" w:before="0" w:line="276"/>
        <w:jc w:val="both"/>
      </w:pPr>
      <w:r>
        <w:rPr>
          <w:rFonts w:ascii="Calibri" w:cs="Calibri" w:eastAsia="Calibri" w:hAnsi="Calibri"/>
          <w:b/>
          <w:bCs/>
          <w:sz w:val="21"/>
          <w:szCs w:val="21"/>
        </w:rPr>
        <w:t xml:space="preserve">6. Visa and insurance.</w:t>
      </w:r>
      <w:r>
        <w:rPr>
          <w:rFonts w:ascii="Calibri" w:cs="Calibri" w:eastAsia="Calibri" w:hAnsi="Calibri"/>
          <w:sz w:val="21"/>
          <w:szCs w:val="21"/>
        </w:rPr>
        <w:t xml:space="preserve"> We will obtain and pay for your work permit, residence visa, medical test, Emirates ID and health insurance. </w:t>
      </w:r>
      <w:r>
        <w:rPr>
          <w:rFonts w:ascii="Calibri" w:cs="Calibri" w:eastAsia="Calibri" w:hAnsi="Calibri"/>
          <w:b/>
          <w:bCs/>
          <w:sz w:val="21"/>
          <w:szCs w:val="21"/>
        </w:rPr>
        <w:t xml:space="preserve">These are our costs and will not be deducted from your salary at any point.</w:t>
      </w:r>
    </w:p>
    <w:p>
      <w:pPr>
        <w:spacing w:after="120" w:before="0" w:line="276"/>
        <w:jc w:val="both"/>
      </w:pPr>
      <w:r>
        <w:rPr>
          <w:rFonts w:ascii="Calibri" w:cs="Calibri" w:eastAsia="Calibri" w:hAnsi="Calibri"/>
          <w:b/>
          <w:bCs/>
          <w:sz w:val="21"/>
          <w:szCs w:val="21"/>
        </w:rPr>
        <w:t xml:space="preserve">7. Gratuity.</w:t>
      </w:r>
      <w:r>
        <w:rPr>
          <w:rFonts w:ascii="Calibri" w:cs="Calibri" w:eastAsia="Calibri" w:hAnsi="Calibri"/>
          <w:sz w:val="21"/>
          <w:szCs w:val="21"/>
        </w:rPr>
        <w:t xml:space="preserve"> On completing one year of service you become entitled to end-of-service gratuity — 21 days’ basic salary for each of the first five years and 30 days’ basic salary for each year after that, calculated on basic salary only.</w:t>
      </w:r>
    </w:p>
    <w:p>
      <w:pPr>
        <w:spacing w:after="120" w:before="0" w:line="276"/>
        <w:jc w:val="both"/>
      </w:pPr>
      <w:r>
        <w:rPr>
          <w:rFonts w:ascii="Calibri" w:cs="Calibri" w:eastAsia="Calibri" w:hAnsi="Calibri"/>
          <w:b/>
          <w:bCs/>
          <w:sz w:val="21"/>
          <w:szCs w:val="21"/>
        </w:rPr>
        <w:t xml:space="preserve">8. What happens next.</w:t>
      </w:r>
      <w:r>
        <w:rPr>
          <w:rFonts w:ascii="Calibri" w:cs="Calibri" w:eastAsia="Calibri" w:hAnsi="Calibri"/>
          <w:sz w:val="21"/>
          <w:szCs w:val="21"/>
        </w:rPr>
        <w:t xml:space="preserve"> You will also receive the standard </w:t>
      </w:r>
      <w:r>
        <w:rPr>
          <w:rFonts w:ascii="Calibri" w:cs="Calibri" w:eastAsia="Calibri" w:hAnsi="Calibri"/>
          <w:b/>
          <w:bCs/>
          <w:sz w:val="21"/>
          <w:szCs w:val="21"/>
        </w:rPr>
        <w:t xml:space="preserve">[MOHRE / free zone]</w:t>
      </w:r>
      <w:r>
        <w:rPr>
          <w:rFonts w:ascii="Calibri" w:cs="Calibri" w:eastAsia="Calibri" w:hAnsi="Calibri"/>
          <w:sz w:val="21"/>
          <w:szCs w:val="21"/>
        </w:rPr>
        <w:t xml:space="preserve"> job offer. </w:t>
      </w:r>
      <w:r>
        <w:rPr>
          <w:rFonts w:ascii="Calibri" w:cs="Calibri" w:eastAsia="Calibri" w:hAnsi="Calibri"/>
          <w:b/>
          <w:bCs/>
          <w:sz w:val="21"/>
          <w:szCs w:val="21"/>
        </w:rPr>
        <w:t xml:space="preserve">It must match this letter</w:t>
      </w:r>
      <w:r>
        <w:rPr>
          <w:rFonts w:ascii="Calibri" w:cs="Calibri" w:eastAsia="Calibri" w:hAnsi="Calibri"/>
          <w:sz w:val="21"/>
          <w:szCs w:val="21"/>
        </w:rPr>
        <w:t xml:space="preserve"> — please read it and tell us immediately if anything differs. Once signed, we apply for your work permit and entry permit. You may not begin work until the permit is issued.</w:t>
      </w:r>
    </w:p>
    <w:p>
      <w:pPr>
        <w:spacing w:after="120" w:before="0" w:line="276"/>
        <w:jc w:val="both"/>
      </w:pPr>
      <w:r>
        <w:rPr>
          <w:rFonts w:ascii="Calibri" w:cs="Calibri" w:eastAsia="Calibri" w:hAnsi="Calibri"/>
          <w:b/>
          <w:bCs/>
          <w:sz w:val="21"/>
          <w:szCs w:val="21"/>
        </w:rPr>
        <w:t xml:space="preserve">9. Conditions.</w:t>
      </w:r>
      <w:r>
        <w:rPr>
          <w:rFonts w:ascii="Calibri" w:cs="Calibri" w:eastAsia="Calibri" w:hAnsi="Calibri"/>
          <w:sz w:val="21"/>
          <w:szCs w:val="21"/>
        </w:rPr>
        <w:t xml:space="preserve"> This offer is subject to visa quota approval, work permit issuance, satisfactory references, a medical fitness test, and </w:t>
      </w:r>
      <w:r>
        <w:rPr>
          <w:rFonts w:ascii="Calibri" w:cs="Calibri" w:eastAsia="Calibri" w:hAnsi="Calibri"/>
          <w:b/>
          <w:bCs/>
          <w:sz w:val="21"/>
          <w:szCs w:val="21"/>
        </w:rPr>
        <w:t xml:space="preserve">[attested qualifications]</w:t>
      </w:r>
      <w:r>
        <w:rPr>
          <w:rFonts w:ascii="Calibri" w:cs="Calibri" w:eastAsia="Calibri" w:hAnsi="Calibri"/>
          <w:sz w:val="21"/>
          <w:szCs w:val="21"/>
        </w:rPr>
        <w:t xml:space="preserve">.</w:t>
      </w:r>
    </w:p>
    <w:p>
      <w:pPr>
        <w:spacing w:after="160" w:before="0" w:line="276"/>
        <w:jc w:val="both"/>
      </w:pPr>
      <w:r>
        <w:rPr>
          <w:rFonts w:ascii="Calibri" w:cs="Calibri" w:eastAsia="Calibri" w:hAnsi="Calibri"/>
          <w:sz w:val="21"/>
          <w:szCs w:val="21"/>
        </w:rPr>
        <w:t xml:space="preserve">Please confirm your acceptance by signing and returning a copy by </w:t>
      </w:r>
      <w:r>
        <w:rPr>
          <w:rFonts w:ascii="Calibri" w:cs="Calibri" w:eastAsia="Calibri" w:hAnsi="Calibri"/>
          <w:b/>
          <w:bCs/>
          <w:sz w:val="21"/>
          <w:szCs w:val="21"/>
        </w:rPr>
        <w:t xml:space="preserve">[DATE]</w:t>
      </w:r>
      <w:r>
        <w:rPr>
          <w:rFonts w:ascii="Calibri" w:cs="Calibri" w:eastAsia="Calibri" w:hAnsi="Calibri"/>
          <w:sz w:val="21"/>
          <w:szCs w:val="21"/>
        </w:rPr>
        <w:t xml:space="preserve">. We are glad you are joining us.</w:t>
      </w:r>
    </w:p>
    <w:p>
      <w:pPr>
        <w:spacing w:after="18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Accepted</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[CANDIDATE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THE MOHRE JOB OFFER</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After acceptance, the standard job offer is generated through </w:t>
      </w:r>
      <w:r>
        <w:rPr>
          <w:rFonts w:ascii="Calibri" w:cs="Calibri" w:eastAsia="Calibri" w:hAnsi="Calibri"/>
          <w:b/>
          <w:bCs/>
          <w:sz w:val="21"/>
          <w:szCs w:val="21"/>
        </w:rPr>
        <w:t xml:space="preserve">[MOHRE / the zone authority]</w:t>
      </w:r>
      <w:r>
        <w:rPr>
          <w:rFonts w:ascii="Calibri" w:cs="Calibri" w:eastAsia="Calibri" w:hAnsi="Calibri"/>
          <w:sz w:val="21"/>
          <w:szCs w:val="21"/>
        </w:rPr>
        <w:t xml:space="preserve"> and signed by the candidate.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It becomes the basis of the </w:t>
      </w:r>
      <w:r>
        <w:rPr>
          <w:rFonts w:ascii="Calibri" w:cs="Calibri" w:eastAsia="Calibri" w:hAnsi="Calibri"/>
          <w:b/>
          <w:bCs/>
          <w:sz w:val="21"/>
          <w:szCs w:val="21"/>
        </w:rPr>
        <w:t xml:space="preserve">work permit application</w:t>
      </w:r>
      <w:r>
        <w:rPr>
          <w:rFonts w:ascii="Calibri" w:cs="Calibri" w:eastAsia="Calibri" w:hAnsi="Calibri"/>
          <w:sz w:val="21"/>
          <w:szCs w:val="21"/>
        </w:rPr>
        <w:t xml:space="preserve">, and then of the </w:t>
      </w:r>
      <w:r>
        <w:rPr>
          <w:rFonts w:ascii="Calibri" w:cs="Calibri" w:eastAsia="Calibri" w:hAnsi="Calibri"/>
          <w:b/>
          <w:bCs/>
          <w:sz w:val="21"/>
          <w:szCs w:val="21"/>
        </w:rPr>
        <w:t xml:space="preserve">employment contract registered within 14 days of permit approval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The figures must match.</w:t>
      </w:r>
      <w:r>
        <w:rPr>
          <w:rFonts w:ascii="Calibri" w:cs="Calibri" w:eastAsia="Calibri" w:hAnsi="Calibri"/>
          <w:sz w:val="21"/>
          <w:szCs w:val="21"/>
        </w:rPr>
        <w:t xml:space="preserve"> The salary in the offer letter, the MOHRE job offer, the registered contract and the WPS payment must all agree.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4240"/>
        <w:gridCol w:w="3085"/>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Document</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Purpose</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Must match</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Offer letter</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Commercial terms; what the candidate decides on</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MOHRE offer</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MOHRE job offer</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Standard form; basis of the permit application</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offer letter</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Registered contract</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operative employment contract</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MOHRE offer</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WPS salary file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is actually paid, monthly</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registered contract</w:t>
            </w:r>
          </w:p>
        </w:tc>
      </w:tr>
    </w:tbl>
    <w:p>
      <w:pPr>
        <w:spacing w:after="140"/>
      </w:pP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A discrepancy at any point in that chain is visible to MOHRE without a complaint. The most common cause is an offer letter quoting a total figure and a MOHRE offer with a different basic-to-allowance split.</w:t>
      </w:r>
    </w:p>
    <w:p>
      <w:pPr>
        <w:keepNext/>
        <w:spacing w:after="120" w:before="280"/>
        <w:outlineLvl w:val="0"/>
      </w:pPr>
      <w:r>
        <w:rPr>
          <w:rFonts w:ascii="Calibri" w:cs="Calibri" w:eastAsia="Calibri" w:hAnsi="Calibri"/>
          <w:b/>
          <w:bCs/>
          <w:color w:val="14161B"/>
          <w:sz w:val="22"/>
          <w:szCs w:val="22"/>
        </w:rPr>
        <w:t xml:space="preserve">4. WITHDRAWAL AND CHANGES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An offer may be withdrawn before acceptance. After acceptance, withdrawal may give rise to a claim, particularly where the candidate has resigned from other employment in reliance on it.</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Where quota, permit approval or attestation fails, communicate promptly and in writing rather than allowing the candidate to wait.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Any change to the agreed terms after the contract is registered requires the employee’s </w:t>
      </w:r>
      <w:r>
        <w:rPr>
          <w:rFonts w:ascii="Calibri" w:cs="Calibri" w:eastAsia="Calibri" w:hAnsi="Calibri"/>
          <w:b/>
          <w:bCs/>
          <w:sz w:val="21"/>
          <w:szCs w:val="21"/>
        </w:rPr>
        <w:t xml:space="preserve">written consent</w:t>
      </w:r>
      <w:r>
        <w:rPr>
          <w:rFonts w:ascii="Calibri" w:cs="Calibri" w:eastAsia="Calibri" w:hAnsi="Calibri"/>
          <w:sz w:val="21"/>
          <w:szCs w:val="21"/>
        </w:rPr>
        <w:t xml:space="preserve"> and a formal amendment through the ministry. It cannot be done by agreement alone.</w:t>
      </w:r>
    </w:p>
    <w:p>
      <w:pPr>
        <w:keepNext/>
        <w:spacing w:after="120" w:before="280"/>
        <w:outlineLvl w:val="0"/>
      </w:pPr>
      <w:r>
        <w:rPr>
          <w:rFonts w:ascii="Calibri" w:cs="Calibri" w:eastAsia="Calibri" w:hAnsi="Calibri"/>
          <w:b/>
          <w:bCs/>
          <w:color w:val="14161B"/>
          <w:sz w:val="22"/>
          <w:szCs w:val="22"/>
        </w:rPr>
        <w:t xml:space="preserve">5. DO NOT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047"/>
        <w:gridCol w:w="5591"/>
      </w:tblGrid>
      <w:tr>
        <w:trPr>
          <w:cantSplit/>
          <w:tblHeader/>
        </w:trPr>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 not</w:t>
            </w:r>
          </w:p>
        </w:tc>
        <w:tc>
          <w:tcPr>
            <w:tcW w:type="dxa" w:w="55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Why</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Charge the candidate for the permit, visa, medical or recruitment</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Prohibited.</w:t>
            </w:r>
            <w:r>
              <w:rPr>
                <w:rFonts w:ascii="Calibri" w:cs="Calibri" w:eastAsia="Calibri" w:hAnsi="Calibri"/>
                <w:sz w:val="18"/>
                <w:szCs w:val="18"/>
              </w:rPr>
              <w:t xml:space="preserve"> Includes indirect recovery through salary structure or repayment clauses</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Let the candidate start before the permit issues</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Unlawful for both parties</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Issue an offer before quota is confirmed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You may have to withdraw it</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Quote only a total salary figure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basic salary determines gratuity; the candidate is entitled to know it</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Let the offer letter and MOHRE offer differ</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Creates a grievance and a compliance exposure</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 the candidate’s passport at any stage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Prohibited</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Promise a salary review or bonus you cannot evidence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It will be relied on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Two documents, and they must agree</w:t>
      </w:r>
    </w:p>
    <w:p>
      <w:pPr>
        <w:spacing w:after="60" w:line="264"/>
        <w:jc w:val="both"/>
      </w:pPr>
      <w:r>
        <w:rPr>
          <w:rFonts w:ascii="Calibri" w:cs="Calibri" w:eastAsia="Calibri" w:hAnsi="Calibri"/>
          <w:sz w:val="19"/>
          <w:szCs w:val="19"/>
        </w:rPr>
        <w:t xml:space="preserve">The commercial offer letter and the standard MOHRE job offer serve different purposes, and both are signed. Where the salary, title or term differ between them, the candidate has a genuine grievance and the employer has an exposure that MOHRE can see without anyone complaining. Reconcile them before either is sent.</w:t>
      </w:r>
    </w:p>
    <w:p>
      <w:pPr>
        <w:keepNext/>
        <w:spacing w:after="40" w:before="140"/>
      </w:pPr>
      <w:r>
        <w:rPr>
          <w:rFonts w:ascii="Calibri" w:cs="Calibri" w:eastAsia="Calibri" w:hAnsi="Calibri"/>
          <w:b/>
          <w:bCs/>
          <w:color w:val="14161B"/>
          <w:sz w:val="20"/>
          <w:szCs w:val="20"/>
        </w:rPr>
        <w:t xml:space="preserve">Confirm quota before offering</w:t>
      </w:r>
    </w:p>
    <w:p>
      <w:pPr>
        <w:spacing w:after="60" w:line="264"/>
        <w:jc w:val="both"/>
      </w:pPr>
      <w:r>
        <w:rPr>
          <w:rFonts w:ascii="Calibri" w:cs="Calibri" w:eastAsia="Calibri" w:hAnsi="Calibri"/>
          <w:sz w:val="19"/>
          <w:szCs w:val="19"/>
        </w:rPr>
        <w:t xml:space="preserve">An offer issued before visa quota is confirmed may have to be withdrawn after the candidate has resigned elsewhere. That is a poor start to a relationship and occasionally a claim. Check the establishment file and the quota first.</w:t>
      </w:r>
    </w:p>
    <w:p>
      <w:pPr>
        <w:keepNext/>
        <w:spacing w:after="40" w:before="140"/>
      </w:pPr>
      <w:r>
        <w:rPr>
          <w:rFonts w:ascii="Calibri" w:cs="Calibri" w:eastAsia="Calibri" w:hAnsi="Calibri"/>
          <w:b/>
          <w:bCs/>
          <w:color w:val="14161B"/>
          <w:sz w:val="20"/>
          <w:szCs w:val="20"/>
        </w:rPr>
        <w:t xml:space="preserve">State the basic salary explicitly</w:t>
      </w:r>
    </w:p>
    <w:p>
      <w:pPr>
        <w:spacing w:after="60" w:line="264"/>
        <w:jc w:val="both"/>
      </w:pPr>
      <w:r>
        <w:rPr>
          <w:rFonts w:ascii="Calibri" w:cs="Calibri" w:eastAsia="Calibri" w:hAnsi="Calibri"/>
          <w:sz w:val="19"/>
          <w:szCs w:val="19"/>
        </w:rPr>
        <w:t xml:space="preserve">Gratuity accrues on basic salary alone, so the basic-to-allowance split determines what the employee receives after years of service. Quoting only a total figure leaves them to discover the position at the end. Disclose it at offer stage — clause 1 of the letter does this deliberately.</w:t>
      </w:r>
    </w:p>
    <w:p>
      <w:pPr>
        <w:keepNext/>
        <w:spacing w:after="40" w:before="140"/>
      </w:pPr>
      <w:r>
        <w:rPr>
          <w:rFonts w:ascii="Calibri" w:cs="Calibri" w:eastAsia="Calibri" w:hAnsi="Calibri"/>
          <w:b/>
          <w:bCs/>
          <w:color w:val="14161B"/>
          <w:sz w:val="20"/>
          <w:szCs w:val="20"/>
        </w:rPr>
        <w:t xml:space="preserve">The split is a legitimate decision, made openly</w:t>
      </w:r>
    </w:p>
    <w:p>
      <w:pPr>
        <w:spacing w:after="60" w:line="264"/>
        <w:jc w:val="both"/>
      </w:pPr>
      <w:r>
        <w:rPr>
          <w:rFonts w:ascii="Calibri" w:cs="Calibri" w:eastAsia="Calibri" w:hAnsi="Calibri"/>
          <w:sz w:val="19"/>
          <w:szCs w:val="19"/>
        </w:rPr>
        <w:t xml:space="preserve">Weighting a package towards allowances reduces gratuity exposure and is lawful. It should be a conscious commercial decision that the candidate can see and price, not something buried in a structure they only understand years later.</w:t>
      </w:r>
    </w:p>
    <w:p>
      <w:pPr>
        <w:keepNext/>
        <w:spacing w:after="40" w:before="140"/>
      </w:pPr>
      <w:r>
        <w:rPr>
          <w:rFonts w:ascii="Calibri" w:cs="Calibri" w:eastAsia="Calibri" w:hAnsi="Calibri"/>
          <w:b/>
          <w:bCs/>
          <w:color w:val="14161B"/>
          <w:sz w:val="20"/>
          <w:szCs w:val="20"/>
        </w:rPr>
        <w:t xml:space="preserve">All contracts are fixed-term</w:t>
      </w:r>
    </w:p>
    <w:p>
      <w:pPr>
        <w:spacing w:after="60" w:line="264"/>
        <w:jc w:val="both"/>
      </w:pPr>
      <w:r>
        <w:rPr>
          <w:rFonts w:ascii="Calibri" w:cs="Calibri" w:eastAsia="Calibri" w:hAnsi="Calibri"/>
          <w:sz w:val="19"/>
          <w:szCs w:val="19"/>
        </w:rPr>
        <w:t xml:space="preserve">Unlimited contracts were abolished. Offer letters referring to permanent or indefinite employment are out of date and confuse candidates who expect the old model. Say fixed-term, say the length, and say it is renewable.</w:t>
      </w:r>
    </w:p>
    <w:p>
      <w:pPr>
        <w:keepNext/>
        <w:spacing w:after="40" w:before="140"/>
      </w:pPr>
      <w:r>
        <w:rPr>
          <w:rFonts w:ascii="Calibri" w:cs="Calibri" w:eastAsia="Calibri" w:hAnsi="Calibri"/>
          <w:b/>
          <w:bCs/>
          <w:color w:val="14161B"/>
          <w:sz w:val="20"/>
          <w:szCs w:val="20"/>
        </w:rPr>
        <w:t xml:space="preserve">Employer costs cannot be recovered, directly or indirectly</w:t>
      </w:r>
    </w:p>
    <w:p>
      <w:pPr>
        <w:spacing w:after="60" w:line="264"/>
        <w:jc w:val="both"/>
      </w:pPr>
      <w:r>
        <w:rPr>
          <w:rFonts w:ascii="Calibri" w:cs="Calibri" w:eastAsia="Calibri" w:hAnsi="Calibri"/>
          <w:sz w:val="19"/>
          <w:szCs w:val="19"/>
        </w:rPr>
        <w:t xml:space="preserve">Permit, visa, medical, Emirates ID and recruitment fees are employer costs by law. That prohibition covers indirect recovery too — a repayment clause on early departure, a salary depressed to absorb the cost, or an agency rebate. Clause 6 of the letter states the position plainly, which is also good practice.</w:t>
      </w:r>
    </w:p>
    <w:p>
      <w:pPr>
        <w:keepNext/>
        <w:spacing w:after="40" w:before="140"/>
      </w:pPr>
      <w:r>
        <w:rPr>
          <w:rFonts w:ascii="Calibri" w:cs="Calibri" w:eastAsia="Calibri" w:hAnsi="Calibri"/>
          <w:b/>
          <w:bCs/>
          <w:color w:val="14161B"/>
          <w:sz w:val="20"/>
          <w:szCs w:val="20"/>
        </w:rPr>
        <w:t xml:space="preserve">Nobody starts before the permit issues</w:t>
      </w:r>
    </w:p>
    <w:p>
      <w:pPr>
        <w:spacing w:after="60" w:line="264"/>
        <w:jc w:val="both"/>
      </w:pPr>
      <w:r>
        <w:rPr>
          <w:rFonts w:ascii="Calibri" w:cs="Calibri" w:eastAsia="Calibri" w:hAnsi="Calibri"/>
          <w:sz w:val="19"/>
          <w:szCs w:val="19"/>
        </w:rPr>
        <w:t xml:space="preserve">Beginning work during processing is unlawful for the employer and exposes the individual. Time pressure produces this constantly. Set expectations in the offer letter so the candidate is not surprised by the wait.</w:t>
      </w:r>
    </w:p>
    <w:p>
      <w:pPr>
        <w:keepNext/>
        <w:spacing w:after="40" w:before="140"/>
      </w:pPr>
      <w:r>
        <w:rPr>
          <w:rFonts w:ascii="Calibri" w:cs="Calibri" w:eastAsia="Calibri" w:hAnsi="Calibri"/>
          <w:b/>
          <w:bCs/>
          <w:color w:val="14161B"/>
          <w:sz w:val="20"/>
          <w:szCs w:val="20"/>
        </w:rPr>
        <w:t xml:space="preserve">Make the conditions explicit</w:t>
      </w:r>
    </w:p>
    <w:p>
      <w:pPr>
        <w:spacing w:after="60" w:line="264"/>
        <w:jc w:val="both"/>
      </w:pPr>
      <w:r>
        <w:rPr>
          <w:rFonts w:ascii="Calibri" w:cs="Calibri" w:eastAsia="Calibri" w:hAnsi="Calibri"/>
          <w:sz w:val="19"/>
          <w:szCs w:val="19"/>
        </w:rPr>
        <w:t xml:space="preserve">Quota approval, permit issuance, references, medical fitness and attestation are real conditions. Listing them means a failure at any stage is an anticipated outcome rather than a broken promise.</w:t>
      </w:r>
    </w:p>
    <w:p>
      <w:pPr>
        <w:keepNext/>
        <w:spacing w:after="40" w:before="140"/>
      </w:pPr>
      <w:r>
        <w:rPr>
          <w:rFonts w:ascii="Calibri" w:cs="Calibri" w:eastAsia="Calibri" w:hAnsi="Calibri"/>
          <w:b/>
          <w:bCs/>
          <w:color w:val="14161B"/>
          <w:sz w:val="20"/>
          <w:szCs w:val="20"/>
        </w:rPr>
        <w:t xml:space="preserve">Attestation starts early or delays everything</w:t>
      </w:r>
    </w:p>
    <w:p>
      <w:pPr>
        <w:spacing w:after="60" w:line="264"/>
        <w:jc w:val="both"/>
      </w:pPr>
      <w:r>
        <w:rPr>
          <w:rFonts w:ascii="Calibri" w:cs="Calibri" w:eastAsia="Calibri" w:hAnsi="Calibri"/>
          <w:sz w:val="19"/>
          <w:szCs w:val="19"/>
        </w:rPr>
        <w:t xml:space="preserve">Where the role requires an attested degree, the process runs through the issuing country, the UAE embassy and the Ministry of Foreign Affairs, and takes weeks. Start it at offer stage rather than after the permit application stalls.</w:t>
      </w:r>
    </w:p>
    <w:p>
      <w:pPr>
        <w:keepNext/>
        <w:spacing w:after="40" w:before="140"/>
      </w:pPr>
      <w:r>
        <w:rPr>
          <w:rFonts w:ascii="Calibri" w:cs="Calibri" w:eastAsia="Calibri" w:hAnsi="Calibri"/>
          <w:b/>
          <w:bCs/>
          <w:color w:val="14161B"/>
          <w:sz w:val="20"/>
          <w:szCs w:val="20"/>
        </w:rPr>
        <w:t xml:space="preserve">Changes after registration need a ministry amendment</w:t>
      </w:r>
    </w:p>
    <w:p>
      <w:pPr>
        <w:spacing w:after="60" w:line="264"/>
        <w:jc w:val="both"/>
      </w:pPr>
      <w:r>
        <w:rPr>
          <w:rFonts w:ascii="Calibri" w:cs="Calibri" w:eastAsia="Calibri" w:hAnsi="Calibri"/>
          <w:sz w:val="19"/>
          <w:szCs w:val="19"/>
        </w:rPr>
        <w:t xml:space="preserve">Once the contract is registered, salary, title and the nature of the work cannot be changed by agreement alone. The employee must consent in writing and the change must go through the amendment service. Informal variations do not bind and show as discrepancies in WPS.</w:t>
      </w:r>
    </w:p>
    <w:p>
      <w:pPr>
        <w:keepNext/>
        <w:spacing w:after="40" w:before="140"/>
      </w:pPr>
      <w:r>
        <w:rPr>
          <w:rFonts w:ascii="Calibri" w:cs="Calibri" w:eastAsia="Calibri" w:hAnsi="Calibri"/>
          <w:b/>
          <w:bCs/>
          <w:color w:val="14161B"/>
          <w:sz w:val="20"/>
          <w:szCs w:val="20"/>
        </w:rPr>
        <w:t xml:space="preserve">Consider the Emiratisation effect before hiring</w:t>
      </w:r>
    </w:p>
    <w:p>
      <w:pPr>
        <w:spacing w:after="60" w:line="264"/>
        <w:jc w:val="both"/>
      </w:pPr>
      <w:r>
        <w:rPr>
          <w:rFonts w:ascii="Calibri" w:cs="Calibri" w:eastAsia="Calibri" w:hAnsi="Calibri"/>
          <w:sz w:val="19"/>
          <w:szCs w:val="19"/>
        </w:rPr>
        <w:t xml:space="preserve">Each additional skilled non-Emirati hire raises the quota base and therefore the number of Emiratis required. For a mainland establishment near a threshold, that is a real cost attached to this specific offer and belongs in the hiring decision.</w:t>
      </w:r>
    </w:p>
    <w:p>
      <w:pPr>
        <w:keepNext/>
        <w:spacing w:after="40" w:before="140"/>
      </w:pPr>
      <w:r>
        <w:rPr>
          <w:rFonts w:ascii="Calibri" w:cs="Calibri" w:eastAsia="Calibri" w:hAnsi="Calibri"/>
          <w:b/>
          <w:bCs/>
          <w:color w:val="14161B"/>
          <w:sz w:val="20"/>
          <w:szCs w:val="20"/>
        </w:rPr>
        <w:t xml:space="preserve">Model the full cost, not the salary</w:t>
      </w:r>
    </w:p>
    <w:p>
      <w:pPr>
        <w:spacing w:after="60" w:line="264"/>
        <w:jc w:val="both"/>
      </w:pPr>
      <w:r>
        <w:rPr>
          <w:rFonts w:ascii="Calibri" w:cs="Calibri" w:eastAsia="Calibri" w:hAnsi="Calibri"/>
          <w:sz w:val="19"/>
          <w:szCs w:val="19"/>
        </w:rPr>
        <w:t xml:space="preserve">Permit, entry permit, medical, Emirates ID, visa, insurance, any deposit, gratuity accrual and repatriation all attach to the hire. The salary is a fraction of it, and the accruing liabilities are the ones companies forget to provide for.</w:t>
      </w:r>
    </w:p>
    <w:p>
      <w:pPr>
        <w:keepNext/>
        <w:spacing w:after="40" w:before="140"/>
      </w:pPr>
      <w:r>
        <w:rPr>
          <w:rFonts w:ascii="Calibri" w:cs="Calibri" w:eastAsia="Calibri" w:hAnsi="Calibri"/>
          <w:b/>
          <w:bCs/>
          <w:color w:val="14161B"/>
          <w:sz w:val="20"/>
          <w:szCs w:val="20"/>
        </w:rPr>
        <w:t xml:space="preserve">Withdrawal after acceptance carries risk</w:t>
      </w:r>
    </w:p>
    <w:p>
      <w:pPr>
        <w:spacing w:after="60" w:line="264"/>
        <w:jc w:val="both"/>
      </w:pPr>
      <w:r>
        <w:rPr>
          <w:rFonts w:ascii="Calibri" w:cs="Calibri" w:eastAsia="Calibri" w:hAnsi="Calibri"/>
          <w:sz w:val="19"/>
          <w:szCs w:val="19"/>
        </w:rPr>
        <w:t xml:space="preserve">A candidate who has resigned in reliance on an accepted offer has a stronger position than one who has not. Where a condition genuinely fails, communicate immediately and in writing — silence while the employer works out what to do is what turns a disappointment into a dispute.</w:t>
      </w:r>
    </w:p>
    <w:p>
      <w:pPr>
        <w:keepNext/>
        <w:spacing w:after="40" w:before="140"/>
      </w:pPr>
      <w:r>
        <w:rPr>
          <w:rFonts w:ascii="Calibri" w:cs="Calibri" w:eastAsia="Calibri" w:hAnsi="Calibri"/>
          <w:b/>
          <w:bCs/>
          <w:color w:val="14161B"/>
          <w:sz w:val="20"/>
          <w:szCs w:val="20"/>
        </w:rPr>
        <w:t xml:space="preserve">Explain what happens next</w:t>
      </w:r>
    </w:p>
    <w:p>
      <w:pPr>
        <w:spacing w:after="60" w:line="264"/>
        <w:jc w:val="both"/>
      </w:pPr>
      <w:r>
        <w:rPr>
          <w:rFonts w:ascii="Calibri" w:cs="Calibri" w:eastAsia="Calibri" w:hAnsi="Calibri"/>
          <w:sz w:val="19"/>
          <w:szCs w:val="19"/>
        </w:rPr>
        <w:t xml:space="preserve">Clause 8 tells the candidate about the MOHRE offer, the permit, and the fact they cannot start yet. Most candidate frustration in UAE onboarding comes from a process nobody explained, running for weeks with no visible progress.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MOHRE offer and contract procedures, probation and notice rules, permit categories and free zone processes all change — confirm the current position with MOHRE or the relevant zone authority, and note that mainland documents may require an Arabic version, which prevails in a dispute.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2026-08-23T16:28:33.817Z</dcterms:created>
  <dcterms:modified xsi:type="dcterms:W3CDTF">2026-08-23T16:28:33.817Z</dcterms:modified>
</cp:coreProperties>
</file>

<file path=docProps/custom.xml><?xml version="1.0" encoding="utf-8"?>
<Properties xmlns="http://schemas.openxmlformats.org/officeDocument/2006/custom-properties" xmlns:vt="http://schemas.openxmlformats.org/officeDocument/2006/docPropsVTypes"/>
</file>