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OFFBOARDING</w:t>
      </w:r>
    </w:p>
    <w:p>
      <w:pPr>
        <w:spacing w:after="260"/>
        <w:jc w:val="center"/>
      </w:pPr>
      <w:r>
        <w:rPr>
          <w:rFonts w:ascii="Calibri" w:cs="Calibri" w:eastAsia="Calibri" w:hAnsi="Calibri"/>
          <w:i/>
          <w:iCs/>
          <w:color w:val="6E7480"/>
          <w:sz w:val="19"/>
          <w:szCs w:val="19"/>
        </w:rPr>
        <w:t xml:space="preserve">From notice to cancellation</w:t>
      </w:r>
    </w:p>
    <w:p>
      <w:pPr>
        <w:spacing w:after="180" w:before="0" w:line="276"/>
        <w:jc w:val="both"/>
      </w:pPr>
      <w:r>
        <w:rPr>
          <w:rFonts w:ascii="Calibri" w:cs="Calibri" w:eastAsia="Calibri" w:hAnsi="Calibri"/>
          <w:i/>
          <w:iCs/>
          <w:color w:val="6E7480"/>
          <w:sz w:val="21"/>
          <w:szCs w:val="21"/>
        </w:rPr>
        <w:t xml:space="preserve">Two rules govern the whole sequence. </w:t>
      </w:r>
      <w:r>
        <w:rPr>
          <w:rFonts w:ascii="Calibri" w:cs="Calibri" w:eastAsia="Calibri" w:hAnsi="Calibri"/>
          <w:b/>
          <w:bCs/>
          <w:i/>
          <w:iCs/>
          <w:color w:val="6E7480"/>
          <w:sz w:val="21"/>
          <w:szCs w:val="21"/>
        </w:rPr>
        <w:t xml:space="preserve">Settle within 14 days</w:t>
      </w:r>
      <w:r>
        <w:rPr>
          <w:rFonts w:ascii="Calibri" w:cs="Calibri" w:eastAsia="Calibri" w:hAnsi="Calibri"/>
          <w:i/>
          <w:iCs/>
          <w:color w:val="6E7480"/>
          <w:sz w:val="21"/>
          <w:szCs w:val="21"/>
        </w:rPr>
        <w:t xml:space="preserve"> of the last working day, and </w:t>
      </w:r>
      <w:r>
        <w:rPr>
          <w:rFonts w:ascii="Calibri" w:cs="Calibri" w:eastAsia="Calibri" w:hAnsi="Calibri"/>
          <w:b/>
          <w:bCs/>
          <w:i/>
          <w:iCs/>
          <w:color w:val="6E7480"/>
          <w:sz w:val="21"/>
          <w:szCs w:val="21"/>
        </w:rPr>
        <w:t xml:space="preserve">pay before cancelling</w:t>
      </w:r>
      <w:r>
        <w:rPr>
          <w:rFonts w:ascii="Calibri" w:cs="Calibri" w:eastAsia="Calibri" w:hAnsi="Calibri"/>
          <w:i/>
          <w:iCs/>
          <w:color w:val="6E7480"/>
          <w:sz w:val="21"/>
          <w:szCs w:val="21"/>
        </w:rPr>
        <w:t xml:space="preserve"> the permit and visa. Reversing that order leaves someone without status while money is owed, and turns an ordinary departure into a complaint.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Joined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  Notice given: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Last working day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Settlement due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14 days after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termination / redundancy / mutual]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settlement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Dependants sponsored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i/>
                <w:iCs/>
                <w:sz w:val="19"/>
                <w:szCs w:val="19"/>
              </w:rPr>
              <w:t xml:space="preserve">their visas fall with the employee’s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 of this process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spacing w:after="180"/>
      </w:pPr>
    </w:p>
    <w:p>
      <w:pPr>
        <w:keepNext/>
        <w:spacing w:after="120" w:before="280"/>
        <w:outlineLvl w:val="0"/>
      </w:pPr>
      <w:r>
        <w:rPr>
          <w:rFonts w:ascii="Calibri" w:cs="Calibri" w:eastAsia="Calibri" w:hAnsi="Calibri"/>
          <w:b/>
          <w:bCs/>
          <w:color w:val="14161B"/>
          <w:sz w:val="22"/>
          <w:szCs w:val="22"/>
        </w:rPr>
        <w:t xml:space="preserve">THE SEQUENCE THAT MATTERS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3662"/>
        <w:gridCol w:w="5205"/>
      </w:tblGrid>
      <w:tr>
        <w:trPr>
          <w:cantSplit/>
          <w:tblHeader/>
        </w:trPr>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Order</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this order</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Calculate the settlement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any conversation about dates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or pay notice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contract</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 everything due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Within 14 days of the last working day</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the work permit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payment</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the residence visa</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the permit</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 the grace period — to the whole family</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they need it</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OFFBOARDING CHECKLIST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751"/>
        <w:gridCol w:w="6315"/>
        <w:gridCol w:w="1954"/>
        <w:gridCol w:w="1654"/>
        <w:gridCol w:w="2556"/>
        <w:gridCol w:w="1808"/>
      </w:tblGrid>
      <w:tr>
        <w:trPr>
          <w:cantSplit/>
          <w:tblHeader/>
        </w:trPr>
        <w:tc>
          <w:tcPr>
            <w:tcW w:type="dxa" w:w="7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6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Step</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When</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Owner</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Applies to</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Done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Notice</w:t>
            </w:r>
          </w:p>
        </w:tc>
        <w:tc>
          <w:tcPr>
            <w:tcW w:type="dxa" w:w="631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Notice acknowledged in writing with the last working day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Reason recorded accurately and contemporaneously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Day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Settlement calculated and checked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4</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Statement of the calculation given to the employee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5</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Visa position explained — including dependants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Sponsored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6</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Handover plan agreed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[Manager]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7</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Restrictions and confidentiality explained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Before the last day</w:t>
            </w:r>
          </w:p>
        </w:tc>
        <w:tc>
          <w:tcPr>
            <w:tcW w:type="dxa" w:w="631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8</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Handover completed and documented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Before 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[Manager]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9</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Company property returned — devices, cards, keys, documents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[IT/Admin]</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10</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Company data removed from personal devices and accounts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[IT]</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11</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Exit interview offered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Final week</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12</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Certificate of service and reference agreed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Final week</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Access and authority</w:t>
            </w:r>
          </w:p>
        </w:tc>
        <w:tc>
          <w:tcPr>
            <w:tcW w:type="dxa" w:w="631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13</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All system access revoked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[IT]</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14</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Email handled — forwarded, then closed on schedule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[IT]</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15</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Building and door access revoked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16</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Removed from bank mandates and signing authorities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Signatories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17</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Company card cancelled and account reconciled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Cardholders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18</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Any power of attorney revoked and copy holders notified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Where granted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19</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Removed from the trade licence where named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Promptly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Managers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20</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Removed from insurer, supplier and client contact lists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Payment</w:t>
            </w:r>
          </w:p>
        </w:tc>
        <w:tc>
          <w:tcPr>
            <w:tcW w:type="dxa" w:w="631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21</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Final salary to the last working day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Within 14 days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22</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Accrued untaken leave paid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Within 14 days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23</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[Payment in lieu of notice]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Within 14 days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Where applicable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24</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End-of-service gratuity on basic salary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Within 14 days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Mainland, zones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25</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Scheme contributions confirmed up to date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Before exit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DIFC/ADGM</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26</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Lawful deductions only — no employer costs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settlement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27</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Outstanding advances or loans reconciled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settlement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Where applicable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28</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[Repatriation ticket or its value]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contract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Where applicable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29</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Payment made and evidence retained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Within 14 days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Immigration</w:t>
            </w:r>
          </w:p>
        </w:tc>
        <w:tc>
          <w:tcPr>
            <w:tcW w:type="dxa" w:w="631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30</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Work permit cancelled — after payment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After settlement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Sponsored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31</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Dependants’ visas addressed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the sponsor’s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Where sponsored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32</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Residence visa cancelled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After the permit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[PRO]</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Sponsored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33</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Grace period explained in writing</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On cancellation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Sponsored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34</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Health insurance ended on the correct date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On cancellation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Close out</w:t>
            </w:r>
          </w:p>
        </w:tc>
        <w:tc>
          <w:tcPr>
            <w:tcW w:type="dxa" w:w="6315"/>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p>
        </w:tc>
        <w:tc>
          <w:tcPr>
            <w:tcW w:type="dxa" w:w="1808"/>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35</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Removed from WPS after the final payment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After payment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36</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Emiratisation position recalculated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Promptly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Mainland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37</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Establishment file and quota updated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Promptly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38</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Personnel file closed and retention period applied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On completion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39</w:t>
            </w:r>
          </w:p>
        </w:tc>
        <w:tc>
          <w:tcPr>
            <w:tcW w:type="dxa" w:w="631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Team and clients told, with a named replacement contact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Around the last day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[Manager]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SETTLEMENT STATEMENT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3084"/>
        <w:gridCol w:w="2218"/>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21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AED</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to the last working day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 to the last working day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Untaken annual leave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 at AED </w:t>
            </w:r>
            <w:r>
              <w:rPr>
                <w:rFonts w:ascii="Calibri" w:cs="Calibri" w:eastAsia="Calibri" w:hAnsi="Calibri"/>
                <w:b/>
                <w:bCs/>
                <w:sz w:val="18"/>
                <w:szCs w:val="18"/>
              </w:rPr>
              <w:t xml:space="preserve">[RATE]</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[Payment in lieu of notice]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End-of-service gratuity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AED </w:t>
            </w:r>
            <w:r>
              <w:rPr>
                <w:rFonts w:ascii="Calibri" w:cs="Calibri" w:eastAsia="Calibri" w:hAnsi="Calibri"/>
                <w:b/>
                <w:bCs/>
                <w:sz w:val="18"/>
                <w:szCs w:val="18"/>
              </w:rPr>
              <w:t xml:space="preserve">[AMOUNT]</w:t>
            </w:r>
            <w:r>
              <w:rPr>
                <w:rFonts w:ascii="Calibri" w:cs="Calibri" w:eastAsia="Calibri" w:hAnsi="Calibri"/>
                <w:sz w:val="18"/>
                <w:szCs w:val="18"/>
              </w:rPr>
              <w:t xml:space="preserve">; </w:t>
            </w:r>
            <w:r>
              <w:rPr>
                <w:rFonts w:ascii="Calibri" w:cs="Calibri" w:eastAsia="Calibri" w:hAnsi="Calibri"/>
                <w:b/>
                <w:bCs/>
                <w:sz w:val="18"/>
                <w:szCs w:val="18"/>
              </w:rPr>
              <w:t xml:space="preserve">[YEARS]</w:t>
            </w:r>
            <w:r>
              <w:rPr>
                <w:rFonts w:ascii="Calibri" w:cs="Calibri" w:eastAsia="Calibri" w:hAnsi="Calibri"/>
                <w:sz w:val="18"/>
                <w:szCs w:val="18"/>
              </w:rPr>
              <w:t xml:space="preserve"> years service</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[Repatriation]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Outstanding reimbursements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lawful deductions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[Advance / loan]</w:t>
            </w: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payable</w:t>
            </w:r>
          </w:p>
        </w:tc>
        <w:tc>
          <w:tcPr>
            <w:tcW w:type="dxa" w:w="3084"/>
            <w:tcMar>
              <w:top w:type="dxa" w:w="70"/>
              <w:left w:type="dxa" w:w="100"/>
              <w:bottom w:type="dxa" w:w="70"/>
              <w:right w:type="dxa" w:w="100"/>
            </w:tcMar>
            <w:vAlign w:val="center"/>
          </w:tcPr>
          <w:p>
            <w:pPr>
              <w:spacing w:after="0" w:line="240"/>
              <w:jc w:val="left"/>
            </w:pPr>
          </w:p>
        </w:tc>
        <w:tc>
          <w:tcPr>
            <w:tcW w:type="dxa" w:w="221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spacing w:after="120" w:before="60" w:line="276"/>
        <w:ind w:left="72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Give the employee the working, not a total.</w:t>
      </w:r>
      <w:r>
        <w:rPr>
          <w:rFonts w:ascii="Calibri" w:cs="Calibri" w:eastAsia="Calibri" w:hAnsi="Calibri"/>
          <w:sz w:val="21"/>
          <w:szCs w:val="21"/>
        </w:rPr>
        <w:t xml:space="preserve"> A bare figure invites a MOHRE complaint from someone who has just left and has time to file one. A statement showing days, rates and the gratuity basis prevents most disputes.</w:t>
      </w:r>
    </w:p>
    <w:p>
      <w:pPr>
        <w:spacing w:after="160"/>
      </w:pPr>
    </w:p>
    <w:p>
      <w:pPr>
        <w:keepNext/>
        <w:spacing w:after="120" w:before="280"/>
        <w:outlineLvl w:val="0"/>
      </w:pPr>
      <w:r>
        <w:rPr>
          <w:rFonts w:ascii="Calibri" w:cs="Calibri" w:eastAsia="Calibri" w:hAnsi="Calibri"/>
          <w:b/>
          <w:bCs/>
          <w:color w:val="14161B"/>
          <w:sz w:val="22"/>
          <w:szCs w:val="22"/>
        </w:rPr>
        <w:t xml:space="preserve">THE THREE MOST MISSED STEPS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084"/>
        <w:gridCol w:w="4049"/>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it is missed</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Bank mandate removal</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Resigning an office removes nobody automatically</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former employee retains payment authority — the most common live control failure in diligence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Power of attorney revocation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Granted years earlier and forgotten</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Remains effective against a third party without notice of revocation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Explaining the family visa position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Nobody’s named job</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Dependants’ status ends with the sponsor’s and the family has no time to plan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Pay first, then cancel</w:t>
      </w:r>
    </w:p>
    <w:p>
      <w:pPr>
        <w:spacing w:after="60" w:line="264"/>
        <w:jc w:val="both"/>
      </w:pPr>
      <w:r>
        <w:rPr>
          <w:rFonts w:ascii="Calibri" w:cs="Calibri" w:eastAsia="Calibri" w:hAnsi="Calibri"/>
          <w:sz w:val="19"/>
          <w:szCs w:val="19"/>
        </w:rPr>
        <w:t xml:space="preserve">Settlement, then work permit, then residence visa. Cancelling while money is outstanding leaves someone without status and converts an ordinary departure into a complaint. The order is both the legal expectation and the decent one.</w:t>
      </w:r>
    </w:p>
    <w:p>
      <w:pPr>
        <w:keepNext/>
        <w:spacing w:after="40" w:before="140"/>
      </w:pPr>
      <w:r>
        <w:rPr>
          <w:rFonts w:ascii="Calibri" w:cs="Calibri" w:eastAsia="Calibri" w:hAnsi="Calibri"/>
          <w:b/>
          <w:bCs/>
          <w:color w:val="14161B"/>
          <w:sz w:val="20"/>
          <w:szCs w:val="20"/>
        </w:rPr>
        <w:t xml:space="preserve">Fourteen days runs from the last working day</w:t>
      </w:r>
    </w:p>
    <w:p>
      <w:pPr>
        <w:spacing w:after="60" w:line="264"/>
        <w:jc w:val="both"/>
      </w:pPr>
      <w:r>
        <w:rPr>
          <w:rFonts w:ascii="Calibri" w:cs="Calibri" w:eastAsia="Calibri" w:hAnsi="Calibri"/>
          <w:sz w:val="19"/>
          <w:szCs w:val="19"/>
        </w:rPr>
        <w:t xml:space="preserve">Not from the notice date and not from the next payroll run. Start the calculation when notice is given, not after the person has gone, and reconcile the leave balance to records rather than memory.</w:t>
      </w:r>
    </w:p>
    <w:p>
      <w:pPr>
        <w:keepNext/>
        <w:spacing w:after="40" w:before="140"/>
      </w:pPr>
      <w:r>
        <w:rPr>
          <w:rFonts w:ascii="Calibri" w:cs="Calibri" w:eastAsia="Calibri" w:hAnsi="Calibri"/>
          <w:b/>
          <w:bCs/>
          <w:color w:val="14161B"/>
          <w:sz w:val="20"/>
          <w:szCs w:val="20"/>
        </w:rPr>
        <w:t xml:space="preserve">Give the calculation, not the total</w:t>
      </w:r>
    </w:p>
    <w:p>
      <w:pPr>
        <w:spacing w:after="60" w:line="264"/>
        <w:jc w:val="both"/>
      </w:pPr>
      <w:r>
        <w:rPr>
          <w:rFonts w:ascii="Calibri" w:cs="Calibri" w:eastAsia="Calibri" w:hAnsi="Calibri"/>
          <w:sz w:val="19"/>
          <w:szCs w:val="19"/>
        </w:rPr>
        <w:t xml:space="preserve">A settlement statement showing days, rates and the gratuity basis prevents most disputes. A bare figure invites a departing employee with time on their hands to have it checked and find the error you did not.</w:t>
      </w:r>
    </w:p>
    <w:p>
      <w:pPr>
        <w:keepNext/>
        <w:spacing w:after="40" w:before="140"/>
      </w:pPr>
      <w:r>
        <w:rPr>
          <w:rFonts w:ascii="Calibri" w:cs="Calibri" w:eastAsia="Calibri" w:hAnsi="Calibri"/>
          <w:b/>
          <w:bCs/>
          <w:color w:val="14161B"/>
          <w:sz w:val="20"/>
          <w:szCs w:val="20"/>
        </w:rPr>
        <w:t xml:space="preserve">Explain the family position at notice</w:t>
      </w:r>
    </w:p>
    <w:p>
      <w:pPr>
        <w:spacing w:after="60" w:line="264"/>
        <w:jc w:val="both"/>
      </w:pPr>
      <w:r>
        <w:rPr>
          <w:rFonts w:ascii="Calibri" w:cs="Calibri" w:eastAsia="Calibri" w:hAnsi="Calibri"/>
          <w:sz w:val="19"/>
          <w:szCs w:val="19"/>
        </w:rPr>
        <w:t xml:space="preserve">Dependants’ visas fall with the sponsor’s. Someone on 30 days notice who does not realise their children’s status ends with theirs has no time to plan schooling, housing or departure. One conversation, at the right moment.</w:t>
      </w:r>
    </w:p>
    <w:p>
      <w:pPr>
        <w:keepNext/>
        <w:spacing w:after="40" w:before="140"/>
      </w:pPr>
      <w:r>
        <w:rPr>
          <w:rFonts w:ascii="Calibri" w:cs="Calibri" w:eastAsia="Calibri" w:hAnsi="Calibri"/>
          <w:b/>
          <w:bCs/>
          <w:color w:val="14161B"/>
          <w:sz w:val="20"/>
          <w:szCs w:val="20"/>
        </w:rPr>
        <w:t xml:space="preserve">Bank mandates are the most missed step</w:t>
      </w:r>
    </w:p>
    <w:p>
      <w:pPr>
        <w:spacing w:after="60" w:line="264"/>
        <w:jc w:val="both"/>
      </w:pPr>
      <w:r>
        <w:rPr>
          <w:rFonts w:ascii="Calibri" w:cs="Calibri" w:eastAsia="Calibri" w:hAnsi="Calibri"/>
          <w:sz w:val="19"/>
          <w:szCs w:val="19"/>
        </w:rPr>
        <w:t xml:space="preserve">Resigning an office, leaving the country and having a visa cancelled remove nobody from a bank mandate. A departed employee retaining payment authority is the most common live control failure found in due diligence.</w:t>
      </w:r>
    </w:p>
    <w:p>
      <w:pPr>
        <w:keepNext/>
        <w:spacing w:after="40" w:before="140"/>
      </w:pPr>
      <w:r>
        <w:rPr>
          <w:rFonts w:ascii="Calibri" w:cs="Calibri" w:eastAsia="Calibri" w:hAnsi="Calibri"/>
          <w:b/>
          <w:bCs/>
          <w:color w:val="14161B"/>
          <w:sz w:val="20"/>
          <w:szCs w:val="20"/>
        </w:rPr>
        <w:t xml:space="preserve">Revoke powers of attorney and tell the copy holders</w:t>
      </w:r>
    </w:p>
    <w:p>
      <w:pPr>
        <w:spacing w:after="60" w:line="264"/>
        <w:jc w:val="both"/>
      </w:pPr>
      <w:r>
        <w:rPr>
          <w:rFonts w:ascii="Calibri" w:cs="Calibri" w:eastAsia="Calibri" w:hAnsi="Calibri"/>
          <w:sz w:val="19"/>
          <w:szCs w:val="19"/>
        </w:rPr>
        <w:t xml:space="preserve">A power granted years ago remains effective against a third party who has no notice of revocation. Telling the former employee is not enough — every bank, authority and counterparty holding a copy needs notifying.</w:t>
      </w:r>
    </w:p>
    <w:p>
      <w:pPr>
        <w:keepNext/>
        <w:spacing w:after="40" w:before="140"/>
      </w:pPr>
      <w:r>
        <w:rPr>
          <w:rFonts w:ascii="Calibri" w:cs="Calibri" w:eastAsia="Calibri" w:hAnsi="Calibri"/>
          <w:b/>
          <w:bCs/>
          <w:color w:val="14161B"/>
          <w:sz w:val="20"/>
          <w:szCs w:val="20"/>
        </w:rPr>
        <w:t xml:space="preserve">Check personal devices and cloud accounts</w:t>
      </w:r>
    </w:p>
    <w:p>
      <w:pPr>
        <w:spacing w:after="60" w:line="264"/>
        <w:jc w:val="both"/>
      </w:pPr>
      <w:r>
        <w:rPr>
          <w:rFonts w:ascii="Calibri" w:cs="Calibri" w:eastAsia="Calibri" w:hAnsi="Calibri"/>
          <w:sz w:val="19"/>
          <w:szCs w:val="19"/>
        </w:rPr>
        <w:t xml:space="preserve">Company data on a personal phone, personal email or personal cloud storage is the leakage route least examined at exit. Ask directly, get confirmation in writing, and record it.</w:t>
      </w:r>
    </w:p>
    <w:p>
      <w:pPr>
        <w:keepNext/>
        <w:spacing w:after="40" w:before="140"/>
      </w:pPr>
      <w:r>
        <w:rPr>
          <w:rFonts w:ascii="Calibri" w:cs="Calibri" w:eastAsia="Calibri" w:hAnsi="Calibri"/>
          <w:b/>
          <w:bCs/>
          <w:color w:val="14161B"/>
          <w:sz w:val="20"/>
          <w:szCs w:val="20"/>
        </w:rPr>
        <w:t xml:space="preserve">Revoke access on the last day, not later</w:t>
      </w:r>
    </w:p>
    <w:p>
      <w:pPr>
        <w:spacing w:after="60" w:line="264"/>
        <w:jc w:val="both"/>
      </w:pPr>
      <w:r>
        <w:rPr>
          <w:rFonts w:ascii="Calibri" w:cs="Calibri" w:eastAsia="Calibri" w:hAnsi="Calibri"/>
          <w:sz w:val="19"/>
          <w:szCs w:val="19"/>
        </w:rPr>
        <w:t xml:space="preserve">System logins, shared drives, SaaS tools and building access all need removing on the day. Dormant access belonging to former employees appears in almost every diligence exercise and is trivially preventable.</w:t>
      </w:r>
    </w:p>
    <w:p>
      <w:pPr>
        <w:keepNext/>
        <w:spacing w:after="40" w:before="140"/>
      </w:pPr>
      <w:r>
        <w:rPr>
          <w:rFonts w:ascii="Calibri" w:cs="Calibri" w:eastAsia="Calibri" w:hAnsi="Calibri"/>
          <w:b/>
          <w:bCs/>
          <w:color w:val="14161B"/>
          <w:sz w:val="20"/>
          <w:szCs w:val="20"/>
        </w:rPr>
        <w:t xml:space="preserve">Confirm scheme contributions before a DIFC or ADGM exit</w:t>
      </w:r>
    </w:p>
    <w:p>
      <w:pPr>
        <w:spacing w:after="60" w:line="264"/>
        <w:jc w:val="both"/>
      </w:pPr>
      <w:r>
        <w:rPr>
          <w:rFonts w:ascii="Calibri" w:cs="Calibri" w:eastAsia="Calibri" w:hAnsi="Calibri"/>
          <w:sz w:val="19"/>
          <w:szCs w:val="19"/>
        </w:rPr>
        <w:t xml:space="preserve">Funded end-of-service schemes require contributions to be up to date, and arrears cannot be settled at exit as a gratuity would be. Check the contribution history, not the balance sheet line.</w:t>
      </w:r>
    </w:p>
    <w:p>
      <w:pPr>
        <w:keepNext/>
        <w:spacing w:after="40" w:before="140"/>
      </w:pPr>
      <w:r>
        <w:rPr>
          <w:rFonts w:ascii="Calibri" w:cs="Calibri" w:eastAsia="Calibri" w:hAnsi="Calibri"/>
          <w:b/>
          <w:bCs/>
          <w:color w:val="14161B"/>
          <w:sz w:val="20"/>
          <w:szCs w:val="20"/>
        </w:rPr>
        <w:t xml:space="preserve">Deduct nothing that is not lawful</w:t>
      </w:r>
    </w:p>
    <w:p>
      <w:pPr>
        <w:spacing w:after="60" w:line="264"/>
        <w:jc w:val="both"/>
      </w:pPr>
      <w:r>
        <w:rPr>
          <w:rFonts w:ascii="Calibri" w:cs="Calibri" w:eastAsia="Calibri" w:hAnsi="Calibri"/>
          <w:sz w:val="19"/>
          <w:szCs w:val="19"/>
        </w:rPr>
        <w:t xml:space="preserve">Employer costs — permit, visa, medical, Emirates ID, recruitment — can never be recovered. Other deductions are limited to what the Law permits and to a statutory proportion. Any remainder is a debt, not a withholding.</w:t>
      </w:r>
    </w:p>
    <w:p>
      <w:pPr>
        <w:keepNext/>
        <w:spacing w:after="40" w:before="140"/>
      </w:pPr>
      <w:r>
        <w:rPr>
          <w:rFonts w:ascii="Calibri" w:cs="Calibri" w:eastAsia="Calibri" w:hAnsi="Calibri"/>
          <w:b/>
          <w:bCs/>
          <w:color w:val="14161B"/>
          <w:sz w:val="20"/>
          <w:szCs w:val="20"/>
        </w:rPr>
        <w:t xml:space="preserve">Remove from WPS after the final payment, not before</w:t>
      </w:r>
    </w:p>
    <w:p>
      <w:pPr>
        <w:spacing w:after="60" w:line="264"/>
        <w:jc w:val="both"/>
      </w:pPr>
      <w:r>
        <w:rPr>
          <w:rFonts w:ascii="Calibri" w:cs="Calibri" w:eastAsia="Calibri" w:hAnsi="Calibri"/>
          <w:sz w:val="19"/>
          <w:szCs w:val="19"/>
        </w:rPr>
        <w:t xml:space="preserve">Removing a leaver from the file before the last period is paid produces a non-payment record for someone you were about to pay properly. Sequence it after payment clears.</w:t>
      </w:r>
    </w:p>
    <w:p>
      <w:pPr>
        <w:keepNext/>
        <w:spacing w:after="40" w:before="140"/>
      </w:pPr>
      <w:r>
        <w:rPr>
          <w:rFonts w:ascii="Calibri" w:cs="Calibri" w:eastAsia="Calibri" w:hAnsi="Calibri"/>
          <w:b/>
          <w:bCs/>
          <w:color w:val="14161B"/>
          <w:sz w:val="20"/>
          <w:szCs w:val="20"/>
        </w:rPr>
        <w:t xml:space="preserve">Recalculate the Emiratisation position</w:t>
      </w:r>
    </w:p>
    <w:p>
      <w:pPr>
        <w:spacing w:after="60" w:line="264"/>
        <w:jc w:val="both"/>
      </w:pPr>
      <w:r>
        <w:rPr>
          <w:rFonts w:ascii="Calibri" w:cs="Calibri" w:eastAsia="Calibri" w:hAnsi="Calibri"/>
          <w:sz w:val="19"/>
          <w:szCs w:val="19"/>
        </w:rPr>
        <w:t xml:space="preserve">A departure changes the skilled headcount, and where the leaver is Emirati it can put the establishment below target with penalties accruing monthly. Recalculate on every exit, not at the assessment date.</w:t>
      </w:r>
    </w:p>
    <w:p>
      <w:pPr>
        <w:keepNext/>
        <w:spacing w:after="40" w:before="140"/>
      </w:pPr>
      <w:r>
        <w:rPr>
          <w:rFonts w:ascii="Calibri" w:cs="Calibri" w:eastAsia="Calibri" w:hAnsi="Calibri"/>
          <w:b/>
          <w:bCs/>
          <w:color w:val="14161B"/>
          <w:sz w:val="20"/>
          <w:szCs w:val="20"/>
        </w:rPr>
        <w:t xml:space="preserve">Keep adverse comment out of the certificate of service</w:t>
      </w:r>
    </w:p>
    <w:p>
      <w:pPr>
        <w:spacing w:after="60" w:line="264"/>
        <w:jc w:val="both"/>
      </w:pPr>
      <w:r>
        <w:rPr>
          <w:rFonts w:ascii="Calibri" w:cs="Calibri" w:eastAsia="Calibri" w:hAnsi="Calibri"/>
          <w:sz w:val="19"/>
          <w:szCs w:val="19"/>
        </w:rPr>
        <w:t xml:space="preserve">It records role and dates. Recording a dispute or a reason for leaving turns a routine document into a defamation risk, and it will be produced in any subsequent proceeding.</w:t>
      </w:r>
    </w:p>
    <w:p>
      <w:pPr>
        <w:keepNext/>
        <w:spacing w:after="40" w:before="140"/>
      </w:pPr>
      <w:r>
        <w:rPr>
          <w:rFonts w:ascii="Calibri" w:cs="Calibri" w:eastAsia="Calibri" w:hAnsi="Calibri"/>
          <w:b/>
          <w:bCs/>
          <w:color w:val="14161B"/>
          <w:sz w:val="20"/>
          <w:szCs w:val="20"/>
        </w:rPr>
        <w:t xml:space="preserve">Offer an exit interview and act on what you hear</w:t>
      </w:r>
    </w:p>
    <w:p>
      <w:pPr>
        <w:spacing w:after="60" w:line="264"/>
        <w:jc w:val="both"/>
      </w:pPr>
      <w:r>
        <w:rPr>
          <w:rFonts w:ascii="Calibri" w:cs="Calibri" w:eastAsia="Calibri" w:hAnsi="Calibri"/>
          <w:sz w:val="19"/>
          <w:szCs w:val="19"/>
        </w:rPr>
        <w:t xml:space="preserve">Departing employees say things current ones will not. The value is in the pattern across several exits, not in any single conversation — and it costs an hour.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Notice periods, gratuity calculation, settlement deadlines, permitted deductions, cancellation procedures, grace periods and free zone, DIFC and ADGM requirements all change — confirm with MOHRE or the relevant authority before processing an exit.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2026-08-23T16:28:33.280Z</dcterms:created>
  <dcterms:modified xsi:type="dcterms:W3CDTF">2026-08-23T16:28:33.280Z</dcterms:modified>
</cp:coreProperties>
</file>

<file path=docProps/custom.xml><?xml version="1.0" encoding="utf-8"?>
<Properties xmlns="http://schemas.openxmlformats.org/officeDocument/2006/custom-properties" xmlns:vt="http://schemas.openxmlformats.org/officeDocument/2006/docPropsVTypes"/>
</file>