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NON-DISCLOSURE AGREEMENT</w:t>
      </w:r>
    </w:p>
    <w:p>
      <w:pPr>
        <w:spacing w:after="260"/>
        <w:jc w:val="center"/>
      </w:pPr>
      <w:r>
        <w:rPr>
          <w:rFonts w:ascii="Calibri" w:cs="Calibri" w:eastAsia="Calibri" w:hAnsi="Calibri"/>
          <w:i/>
          <w:iCs/>
          <w:color w:val="6E7480"/>
          <w:sz w:val="19"/>
          <w:szCs w:val="19"/>
        </w:rPr>
        <w:t xml:space="preserve">Mutual and one-way — UAE</w:t>
      </w:r>
    </w:p>
    <w:p>
      <w:pPr>
        <w:spacing w:after="180" w:before="0" w:line="276"/>
        <w:jc w:val="both"/>
      </w:pPr>
      <w:r>
        <w:rPr>
          <w:rFonts w:ascii="Calibri" w:cs="Calibri" w:eastAsia="Calibri" w:hAnsi="Calibri"/>
          <w:i/>
          <w:iCs/>
          <w:color w:val="6E7480"/>
          <w:sz w:val="21"/>
          <w:szCs w:val="21"/>
        </w:rPr>
        <w:t xml:space="preserve">The clauses that decide whether this is worth signing are the </w:t>
      </w:r>
      <w:r>
        <w:rPr>
          <w:rFonts w:ascii="Calibri" w:cs="Calibri" w:eastAsia="Calibri" w:hAnsi="Calibri"/>
          <w:b/>
          <w:bCs/>
          <w:i/>
          <w:iCs/>
          <w:color w:val="6E7480"/>
          <w:sz w:val="21"/>
          <w:szCs w:val="21"/>
        </w:rPr>
        <w:t xml:space="preserve">purpose</w:t>
      </w:r>
      <w:r>
        <w:rPr>
          <w:rFonts w:ascii="Calibri" w:cs="Calibri" w:eastAsia="Calibri" w:hAnsi="Calibri"/>
          <w:i/>
          <w:iCs/>
          <w:color w:val="6E7480"/>
          <w:sz w:val="21"/>
          <w:szCs w:val="21"/>
        </w:rPr>
        <w:t xml:space="preserve"> and the </w:t>
      </w:r>
      <w:r>
        <w:rPr>
          <w:rFonts w:ascii="Calibri" w:cs="Calibri" w:eastAsia="Calibri" w:hAnsi="Calibri"/>
          <w:b/>
          <w:bCs/>
          <w:i/>
          <w:iCs/>
          <w:color w:val="6E7480"/>
          <w:sz w:val="21"/>
          <w:szCs w:val="21"/>
        </w:rPr>
        <w:t xml:space="preserve">duration</w:t>
      </w:r>
      <w:r>
        <w:rPr>
          <w:rFonts w:ascii="Calibri" w:cs="Calibri" w:eastAsia="Calibri" w:hAnsi="Calibri"/>
          <w:i/>
          <w:iCs/>
          <w:color w:val="6E7480"/>
          <w:sz w:val="21"/>
          <w:szCs w:val="21"/>
        </w:rPr>
        <w:t xml:space="preserve">. What makes the UAE version different is the </w:t>
      </w:r>
      <w:r>
        <w:rPr>
          <w:rFonts w:ascii="Calibri" w:cs="Calibri" w:eastAsia="Calibri" w:hAnsi="Calibri"/>
          <w:b/>
          <w:bCs/>
          <w:i/>
          <w:iCs/>
          <w:color w:val="6E7480"/>
          <w:sz w:val="21"/>
          <w:szCs w:val="21"/>
        </w:rPr>
        <w:t xml:space="preserve">forum</w:t>
      </w:r>
      <w:r>
        <w:rPr>
          <w:rFonts w:ascii="Calibri" w:cs="Calibri" w:eastAsia="Calibri" w:hAnsi="Calibri"/>
          <w:i/>
          <w:iCs/>
          <w:color w:val="6E7480"/>
          <w:sz w:val="21"/>
          <w:szCs w:val="21"/>
        </w:rPr>
        <w:t xml:space="preserve">: onshore courts operate in Arabic with translated documents, while DIFC and ADGM operate in English under common law. That choice determines how quickly you can actually stop a misuse.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Type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[Mutual — both disclose / One-way]</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Party A</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Party B</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Purpose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IT SPECIFICALLY — see the notes]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Term of the agreement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[2]</w:t>
            </w:r>
            <w:r>
              <w:rPr>
                <w:rFonts w:ascii="Calibri" w:cs="Calibri" w:eastAsia="Calibri" w:hAnsi="Calibri"/>
                <w:sz w:val="19"/>
                <w:szCs w:val="19"/>
              </w:rPr>
              <w:t xml:space="preserve"> years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Confidentiality period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w:t>
            </w:r>
            <w:r>
              <w:rPr>
                <w:rFonts w:ascii="Calibri" w:cs="Calibri" w:eastAsia="Calibri" w:hAnsi="Calibri"/>
                <w:sz w:val="19"/>
                <w:szCs w:val="19"/>
              </w:rPr>
              <w:t xml:space="preserve"> years from disclosure </w:t>
            </w:r>
            <w:r>
              <w:rPr>
                <w:rFonts w:ascii="Calibri" w:cs="Calibri" w:eastAsia="Calibri" w:hAnsi="Calibri"/>
                <w:b/>
                <w:bCs/>
                <w:sz w:val="19"/>
                <w:szCs w:val="19"/>
              </w:rPr>
              <w:t xml:space="preserve">[, indefinite for trade secrets]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Governing law</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(emirate of ______) / DIFC / ADGM]</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Forum</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[Onshore courts — Arabic / DIFC Courts / ADGM Courts / Arbitration]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Language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[English / Bilingual — Arabic prevails onshore]</w:t>
            </w:r>
          </w:p>
        </w:tc>
      </w:tr>
    </w:tbl>
    <w:p>
      <w:pPr>
        <w:spacing w:after="180"/>
      </w:pPr>
    </w:p>
    <w:p>
      <w:pPr>
        <w:keepNext/>
        <w:spacing w:after="120" w:before="280"/>
        <w:outlineLvl w:val="0"/>
      </w:pPr>
      <w:r>
        <w:rPr>
          <w:rFonts w:ascii="Calibri" w:cs="Calibri" w:eastAsia="Calibri" w:hAnsi="Calibri"/>
          <w:b/>
          <w:bCs/>
          <w:color w:val="14161B"/>
          <w:sz w:val="22"/>
          <w:szCs w:val="22"/>
        </w:rPr>
        <w:t xml:space="preserve">1. PURPOSE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Parties wish to </w:t>
      </w:r>
      <w:r>
        <w:rPr>
          <w:rFonts w:ascii="Calibri" w:cs="Calibri" w:eastAsia="Calibri" w:hAnsi="Calibri"/>
          <w:b/>
          <w:bCs/>
          <w:sz w:val="21"/>
          <w:szCs w:val="21"/>
        </w:rPr>
        <w:t xml:space="preserve">[discuss / evaluate]</w:t>
      </w:r>
      <w:r>
        <w:rPr>
          <w:rFonts w:ascii="Calibri" w:cs="Calibri" w:eastAsia="Calibri" w:hAnsi="Calibri"/>
          <w:sz w:val="21"/>
          <w:szCs w:val="21"/>
        </w:rPr>
        <w:t xml:space="preserve"> </w:t>
      </w:r>
      <w:r>
        <w:rPr>
          <w:rFonts w:ascii="Calibri" w:cs="Calibri" w:eastAsia="Calibri" w:hAnsi="Calibri"/>
          <w:b/>
          <w:bCs/>
          <w:sz w:val="21"/>
          <w:szCs w:val="21"/>
        </w:rPr>
        <w:t xml:space="preserve">[DESCRIBE THE SPECIFIC TRANSACTION OR PROJECT]</w:t>
      </w:r>
      <w:r>
        <w:rPr>
          <w:rFonts w:ascii="Calibri" w:cs="Calibri" w:eastAsia="Calibri" w:hAnsi="Calibri"/>
          <w:sz w:val="21"/>
          <w:szCs w:val="21"/>
        </w:rPr>
        <w:t xml:space="preserve"> (the "</w:t>
      </w:r>
      <w:r>
        <w:rPr>
          <w:rFonts w:ascii="Calibri" w:cs="Calibri" w:eastAsia="Calibri" w:hAnsi="Calibri"/>
          <w:b/>
          <w:bCs/>
          <w:sz w:val="21"/>
          <w:szCs w:val="21"/>
        </w:rPr>
        <w:t xml:space="preserve">Purpose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Confidential Information may be used </w:t>
      </w:r>
      <w:r>
        <w:rPr>
          <w:rFonts w:ascii="Calibri" w:cs="Calibri" w:eastAsia="Calibri" w:hAnsi="Calibri"/>
          <w:b/>
          <w:bCs/>
          <w:sz w:val="21"/>
          <w:szCs w:val="21"/>
        </w:rPr>
        <w:t xml:space="preserve">only for the Purpose</w:t>
      </w:r>
      <w:r>
        <w:rPr>
          <w:rFonts w:ascii="Calibri" w:cs="Calibri" w:eastAsia="Calibri" w:hAnsi="Calibri"/>
          <w:sz w:val="21"/>
          <w:szCs w:val="21"/>
        </w:rPr>
        <w:t xml:space="preserve"> and for no other purpose.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Draft the Purpose narrowly. "Exploring a potential business relationship" permits the recipient to use your information for almost anything and still comply.</w:t>
      </w:r>
    </w:p>
    <w:p>
      <w:pPr>
        <w:keepNext/>
        <w:spacing w:after="120" w:before="280"/>
        <w:outlineLvl w:val="0"/>
      </w:pPr>
      <w:r>
        <w:rPr>
          <w:rFonts w:ascii="Calibri" w:cs="Calibri" w:eastAsia="Calibri" w:hAnsi="Calibri"/>
          <w:b/>
          <w:bCs/>
          <w:color w:val="14161B"/>
          <w:sz w:val="22"/>
          <w:szCs w:val="22"/>
        </w:rPr>
        <w:t xml:space="preserve">2. CONFIDENTIAL INFORMATION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information disclosed by or on behalf of a Party in connection with the Purpose, in any form, that is confidential or that a reasonable person would understand to be confidential, including business plans, financial information, customer and supplier information, pricing, technical information, source code, designs, know-how, and the existence and content of the discussions.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It does </w:t>
      </w:r>
      <w:r>
        <w:rPr>
          <w:rFonts w:ascii="Calibri" w:cs="Calibri" w:eastAsia="Calibri" w:hAnsi="Calibri"/>
          <w:b/>
          <w:bCs/>
          <w:sz w:val="21"/>
          <w:szCs w:val="21"/>
        </w:rPr>
        <w:t xml:space="preserve">not</w:t>
      </w:r>
      <w:r>
        <w:rPr>
          <w:rFonts w:ascii="Calibri" w:cs="Calibri" w:eastAsia="Calibri" w:hAnsi="Calibri"/>
          <w:sz w:val="21"/>
          <w:szCs w:val="21"/>
        </w:rPr>
        <w:t xml:space="preserve"> include information that: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is or becomes public other than through breach of this agreement;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Recipient already lawfully held without an obligation of confidence, as shown by its records;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is lawfully received from a third party free of any obligation of confidence; or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is independently developed without use of or reference to the Confidential Information.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Information is not excluded merely because it is a combination of individually public items.</w:t>
      </w:r>
    </w:p>
    <w:p>
      <w:pPr>
        <w:keepNext/>
        <w:spacing w:after="120" w:before="280"/>
        <w:outlineLvl w:val="0"/>
      </w:pPr>
      <w:r>
        <w:rPr>
          <w:rFonts w:ascii="Calibri" w:cs="Calibri" w:eastAsia="Calibri" w:hAnsi="Calibri"/>
          <w:b/>
          <w:bCs/>
          <w:color w:val="14161B"/>
          <w:sz w:val="22"/>
          <w:szCs w:val="22"/>
        </w:rPr>
        <w:t xml:space="preserve">3. OBLIGATIONS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Recipient shall keep the Confidential Information confidential, protect it with at least reasonable care, use it only for the Purpose, and disclose it only to those of its </w:t>
      </w:r>
      <w:r>
        <w:rPr>
          <w:rFonts w:ascii="Calibri" w:cs="Calibri" w:eastAsia="Calibri" w:hAnsi="Calibri"/>
          <w:b/>
          <w:bCs/>
          <w:sz w:val="21"/>
          <w:szCs w:val="21"/>
        </w:rPr>
        <w:t xml:space="preserve">[directors, employees and professional advisers]</w:t>
      </w:r>
      <w:r>
        <w:rPr>
          <w:rFonts w:ascii="Calibri" w:cs="Calibri" w:eastAsia="Calibri" w:hAnsi="Calibri"/>
          <w:sz w:val="21"/>
          <w:szCs w:val="21"/>
        </w:rPr>
        <w:t xml:space="preserve"> who need it for the Purpose and are bound by equivalent obligations.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Recipient remains responsible for any breach by a person to whom it discloses.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The Recipient shall notify the Discloser promptly of any unauthorised use or disclosure.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Recipient shall not reverse engineer any material or product provided.</w:t>
      </w:r>
    </w:p>
    <w:p>
      <w:pPr>
        <w:keepNext/>
        <w:spacing w:after="120" w:before="280"/>
        <w:outlineLvl w:val="0"/>
      </w:pPr>
      <w:r>
        <w:rPr>
          <w:rFonts w:ascii="Calibri" w:cs="Calibri" w:eastAsia="Calibri" w:hAnsi="Calibri"/>
          <w:b/>
          <w:bCs/>
          <w:color w:val="14161B"/>
          <w:sz w:val="22"/>
          <w:szCs w:val="22"/>
        </w:rPr>
        <w:t xml:space="preserve">4. PERMITTED DISCLOSURE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Recipient may disclose to the extent required by law, by a court, or by a regulator, provided that it (so far as lawful and practicable) notifies the Discloser first, gives a reasonable opportunity to object, and discloses only what is required.</w:t>
      </w:r>
    </w:p>
    <w:p>
      <w:pPr>
        <w:keepNext/>
        <w:spacing w:after="120" w:before="280"/>
        <w:outlineLvl w:val="0"/>
      </w:pPr>
      <w:r>
        <w:rPr>
          <w:rFonts w:ascii="Calibri" w:cs="Calibri" w:eastAsia="Calibri" w:hAnsi="Calibri"/>
          <w:b/>
          <w:bCs/>
          <w:color w:val="14161B"/>
          <w:sz w:val="22"/>
          <w:szCs w:val="22"/>
        </w:rPr>
        <w:t xml:space="preserve">5. NO RIGHTS GRANTED</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Nothing transfers or licenses any intellectual property. All Confidential Information remains the property of the Discloser.</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Discloser makes </w:t>
      </w:r>
      <w:r>
        <w:rPr>
          <w:rFonts w:ascii="Calibri" w:cs="Calibri" w:eastAsia="Calibri" w:hAnsi="Calibri"/>
          <w:b/>
          <w:bCs/>
          <w:sz w:val="21"/>
          <w:szCs w:val="21"/>
        </w:rPr>
        <w:t xml:space="preserve">no representation or warranty</w:t>
      </w:r>
      <w:r>
        <w:rPr>
          <w:rFonts w:ascii="Calibri" w:cs="Calibri" w:eastAsia="Calibri" w:hAnsi="Calibri"/>
          <w:sz w:val="21"/>
          <w:szCs w:val="21"/>
        </w:rPr>
        <w:t xml:space="preserve"> as to accuracy or completeness, save as expressly agreed in any definitive agreement.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Neither Party is obliged to disclose anything, to enter into any transaction, or to continue discussions.</w:t>
      </w:r>
    </w:p>
    <w:p>
      <w:pPr>
        <w:keepNext/>
        <w:spacing w:after="120" w:before="280"/>
        <w:outlineLvl w:val="0"/>
      </w:pPr>
      <w:r>
        <w:rPr>
          <w:rFonts w:ascii="Calibri" w:cs="Calibri" w:eastAsia="Calibri" w:hAnsi="Calibri"/>
          <w:b/>
          <w:bCs/>
          <w:color w:val="14161B"/>
          <w:sz w:val="22"/>
          <w:szCs w:val="22"/>
        </w:rPr>
        <w:t xml:space="preserve">6. RETURN AND DELETION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On written request or on termination, the Recipient shall return or securely destroy all Confidential Information and confirm in writing that it has done so.</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Recipient may retain one copy to the extent required by law or its bona fide backup policies, provided it remains subject to this agreement while retained.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i/>
          <w:iCs/>
          <w:sz w:val="21"/>
          <w:szCs w:val="21"/>
        </w:rPr>
        <w:t xml:space="preserve">A return-and-destroy clause with no backup carve-out is breached the moment it is signed.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7. DURATION</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This agreement continues for </w:t>
      </w:r>
      <w:r>
        <w:rPr>
          <w:rFonts w:ascii="Calibri" w:cs="Calibri" w:eastAsia="Calibri" w:hAnsi="Calibri"/>
          <w:b/>
          <w:bCs/>
          <w:sz w:val="21"/>
          <w:szCs w:val="21"/>
        </w:rPr>
        <w:t xml:space="preserve">[2]</w:t>
      </w:r>
      <w:r>
        <w:rPr>
          <w:rFonts w:ascii="Calibri" w:cs="Calibri" w:eastAsia="Calibri" w:hAnsi="Calibri"/>
          <w:sz w:val="21"/>
          <w:szCs w:val="21"/>
        </w:rPr>
        <w:t xml:space="preserve"> years, or until superseded by a definitive agreement.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Confidentiality obligations continue for </w:t>
      </w:r>
      <w:r>
        <w:rPr>
          <w:rFonts w:ascii="Calibri" w:cs="Calibri" w:eastAsia="Calibri" w:hAnsi="Calibri"/>
          <w:b/>
          <w:bCs/>
          <w:sz w:val="21"/>
          <w:szCs w:val="21"/>
        </w:rPr>
        <w:t xml:space="preserve">[3]</w:t>
      </w:r>
      <w:r>
        <w:rPr>
          <w:rFonts w:ascii="Calibri" w:cs="Calibri" w:eastAsia="Calibri" w:hAnsi="Calibri"/>
          <w:sz w:val="21"/>
          <w:szCs w:val="21"/>
        </w:rPr>
        <w:t xml:space="preserve"> years from each disclosure </w:t>
      </w:r>
      <w:r>
        <w:rPr>
          <w:rFonts w:ascii="Calibri" w:cs="Calibri" w:eastAsia="Calibri" w:hAnsi="Calibri"/>
          <w:b/>
          <w:bCs/>
          <w:sz w:val="21"/>
          <w:szCs w:val="21"/>
        </w:rPr>
        <w:t xml:space="preserve">[, and indefinitely for trade secrets and personal data]</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PERSONAL DATA</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Confidential Information includes personal data, the Recipient shall comply with the applicable UAE data protection regime, use it only for the Purpose, apply reasonable security, </w:t>
      </w:r>
      <w:r>
        <w:rPr>
          <w:rFonts w:ascii="Calibri" w:cs="Calibri" w:eastAsia="Calibri" w:hAnsi="Calibri"/>
          <w:b/>
          <w:bCs/>
          <w:sz w:val="21"/>
          <w:szCs w:val="21"/>
        </w:rPr>
        <w:t xml:space="preserve">notify the Discloser immediately of any data breach</w:t>
      </w:r>
      <w:r>
        <w:rPr>
          <w:rFonts w:ascii="Calibri" w:cs="Calibri" w:eastAsia="Calibri" w:hAnsi="Calibri"/>
          <w:sz w:val="21"/>
          <w:szCs w:val="21"/>
        </w:rPr>
        <w:t xml:space="preserve">, and return or delete it under Clause 6.</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i/>
          <w:iCs/>
          <w:sz w:val="21"/>
          <w:szCs w:val="21"/>
        </w:rPr>
        <w:t xml:space="preserve">Which regime applies depends on where each party is established — federal PDPL, DIFC or ADGM. Where the parties sit in different regimes, a disclosure between them may be a cross-border transfer requiring safeguards.</w:t>
      </w:r>
    </w:p>
    <w:p>
      <w:pPr>
        <w:keepNext/>
        <w:spacing w:after="120" w:before="280"/>
        <w:outlineLvl w:val="0"/>
      </w:pPr>
      <w:r>
        <w:rPr>
          <w:rFonts w:ascii="Calibri" w:cs="Calibri" w:eastAsia="Calibri" w:hAnsi="Calibri"/>
          <w:b/>
          <w:bCs/>
          <w:color w:val="14161B"/>
          <w:sz w:val="22"/>
          <w:szCs w:val="22"/>
        </w:rPr>
        <w:t xml:space="preserve">9. REMEDIES, LAW AND FORUM</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Damages may not be an adequate remedy, and the Discloser may seek </w:t>
      </w:r>
      <w:r>
        <w:rPr>
          <w:rFonts w:ascii="Calibri" w:cs="Calibri" w:eastAsia="Calibri" w:hAnsi="Calibri"/>
          <w:b/>
          <w:bCs/>
          <w:sz w:val="21"/>
          <w:szCs w:val="21"/>
        </w:rPr>
        <w:t xml:space="preserve">injunctive or interim relief</w:t>
      </w:r>
      <w:r>
        <w:rPr>
          <w:rFonts w:ascii="Calibri" w:cs="Calibri" w:eastAsia="Calibri" w:hAnsi="Calibri"/>
          <w:sz w:val="21"/>
          <w:szCs w:val="21"/>
        </w:rPr>
        <w:t xml:space="preserve"> in addition to any other remedy.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agreement is governed by </w:t>
      </w:r>
      <w:r>
        <w:rPr>
          <w:rFonts w:ascii="Calibri" w:cs="Calibri" w:eastAsia="Calibri" w:hAnsi="Calibri"/>
          <w:b/>
          <w:bCs/>
          <w:sz w:val="21"/>
          <w:szCs w:val="21"/>
        </w:rPr>
        <w:t xml:space="preserve">[the laws of the UAE and the emirate of ______ / DIFC law / ADGM law]</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Parties submit to </w:t>
      </w:r>
      <w:r>
        <w:rPr>
          <w:rFonts w:ascii="Calibri" w:cs="Calibri" w:eastAsia="Calibri" w:hAnsi="Calibri"/>
          <w:b/>
          <w:bCs/>
          <w:sz w:val="21"/>
          <w:szCs w:val="21"/>
        </w:rPr>
        <w:t xml:space="preserve">[the courts of ______ / the DIFC Courts / the ADGM Courts / arbitration in ______ under the ______ Rules]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i/>
          <w:iCs/>
          <w:sz w:val="21"/>
          <w:szCs w:val="21"/>
        </w:rPr>
        <w:t xml:space="preserve">The forum choice is the practical decision. Onshore proceedings run in Arabic with legally translated documents, which adds cost and time to urgent relief. DIFC and ADGM operate in English under common law with familiar interim remedies. Where both parties are onshore, an onshore forum is usually unavoidable; where there is a genuine connection to a financial free zone, consider it deliberately.</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This is the entire agreement on its subject matter; no amendment is effective unless in writing and signed.</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Neither Party may assign without consent, save to a group company or on a sale of its business.</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If any provision is held invalid it shall be severed and the remainder shall continue.</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b/>
          <w:bCs/>
          <w:sz w:val="21"/>
          <w:szCs w:val="21"/>
        </w:rPr>
        <w:t xml:space="preserve">[Where bilingual]</w:t>
      </w:r>
      <w:r>
        <w:rPr>
          <w:rFonts w:ascii="Calibri" w:cs="Calibri" w:eastAsia="Calibri" w:hAnsi="Calibri"/>
          <w:sz w:val="21"/>
          <w:szCs w:val="21"/>
        </w:rPr>
        <w:t xml:space="preserve"> This agreement is executed in English and Arabic. </w:t>
      </w:r>
      <w:r>
        <w:rPr>
          <w:rFonts w:ascii="Calibri" w:cs="Calibri" w:eastAsia="Calibri" w:hAnsi="Calibri"/>
          <w:b/>
          <w:bCs/>
          <w:sz w:val="21"/>
          <w:szCs w:val="21"/>
        </w:rPr>
        <w:t xml:space="preserve">In the event of conflict the Arabic version prevails.</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[PARTY A]</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[PARTY B]</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Review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891"/>
        <w:gridCol w:w="4819"/>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Purpose specific?</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broad purpose permits almost any use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duration finite and realistic?</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Perpetual obligations signal poor drafting</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 standard carve-outs present?</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Public, already known, third party, independent development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residuals clause?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can swallow the agreement — check</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may the recipient share with?</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Advisers and group companies are usual; contractors need thought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backup carve-out on deletion?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Without it the clause is immediately breached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Which jurisdiction is each party in?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Onshore, free zone, DIFC or ADGM — affects law, forum and data</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the forum practical for urgent relief?</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proceedings slow injunctive relief</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a bilingual version needed?</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Arabic prevails onshore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personal data involved, and under which regime?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PDPL, DIFC or ADGM</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it grant any IP right by implication?</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It should not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it mutual when it should be?</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one-way NDA where both disclose is unbalanced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Purpose clause is the whole agreement</w:t>
      </w:r>
    </w:p>
    <w:p>
      <w:pPr>
        <w:spacing w:after="60" w:line="264"/>
        <w:jc w:val="both"/>
      </w:pPr>
      <w:r>
        <w:rPr>
          <w:rFonts w:ascii="Calibri" w:cs="Calibri" w:eastAsia="Calibri" w:hAnsi="Calibri"/>
          <w:sz w:val="19"/>
          <w:szCs w:val="19"/>
        </w:rPr>
        <w:t xml:space="preserve">Everything the recipient may do is measured against the Purpose. Drafted as "evaluating a potential business relationship", it permits almost any use and still complies. Name the specific transaction or project. This clause matters more than the rest combined.</w:t>
      </w:r>
    </w:p>
    <w:p>
      <w:pPr>
        <w:keepNext/>
        <w:spacing w:after="40" w:before="140"/>
      </w:pPr>
      <w:r>
        <w:rPr>
          <w:rFonts w:ascii="Calibri" w:cs="Calibri" w:eastAsia="Calibri" w:hAnsi="Calibri"/>
          <w:b/>
          <w:bCs/>
          <w:color w:val="14161B"/>
          <w:sz w:val="20"/>
          <w:szCs w:val="20"/>
        </w:rPr>
        <w:t xml:space="preserve">Decide the forum deliberately</w:t>
      </w:r>
    </w:p>
    <w:p>
      <w:pPr>
        <w:spacing w:after="60" w:line="264"/>
        <w:jc w:val="both"/>
      </w:pPr>
      <w:r>
        <w:rPr>
          <w:rFonts w:ascii="Calibri" w:cs="Calibri" w:eastAsia="Calibri" w:hAnsi="Calibri"/>
          <w:sz w:val="19"/>
          <w:szCs w:val="19"/>
        </w:rPr>
        <w:t xml:space="preserve">Onshore proceedings run in Arabic and require legal translation of every document, which adds real cost and time — particularly painful when the remedy you need is urgent. DIFC and ADGM courts operate in English under common law with familiar interim remedies. Where there is a genuine connection to a financial free zone, that choice is worth making consciously rather than defaulting.</w:t>
      </w:r>
    </w:p>
    <w:p>
      <w:pPr>
        <w:keepNext/>
        <w:spacing w:after="40" w:before="140"/>
      </w:pPr>
      <w:r>
        <w:rPr>
          <w:rFonts w:ascii="Calibri" w:cs="Calibri" w:eastAsia="Calibri" w:hAnsi="Calibri"/>
          <w:b/>
          <w:bCs/>
          <w:color w:val="14161B"/>
          <w:sz w:val="20"/>
          <w:szCs w:val="20"/>
        </w:rPr>
        <w:t xml:space="preserve">Injunctive relief is the real remedy</w:t>
      </w:r>
    </w:p>
    <w:p>
      <w:pPr>
        <w:spacing w:after="60" w:line="264"/>
        <w:jc w:val="both"/>
      </w:pPr>
      <w:r>
        <w:rPr>
          <w:rFonts w:ascii="Calibri" w:cs="Calibri" w:eastAsia="Calibri" w:hAnsi="Calibri"/>
          <w:sz w:val="19"/>
          <w:szCs w:val="19"/>
        </w:rPr>
        <w:t xml:space="preserve">Damages for breach of confidence are hard to quantify and harder to recover. What actually protects you is stopping the use quickly, which is why the forum choice in Clause 9.3 matters as much as the obligations in Clause 3.</w:t>
      </w:r>
    </w:p>
    <w:p>
      <w:pPr>
        <w:keepNext/>
        <w:spacing w:after="40" w:before="140"/>
      </w:pPr>
      <w:r>
        <w:rPr>
          <w:rFonts w:ascii="Calibri" w:cs="Calibri" w:eastAsia="Calibri" w:hAnsi="Calibri"/>
          <w:b/>
          <w:bCs/>
          <w:color w:val="14161B"/>
          <w:sz w:val="20"/>
          <w:szCs w:val="20"/>
        </w:rPr>
        <w:t xml:space="preserve">Arabic prevails onshore</w:t>
      </w:r>
    </w:p>
    <w:p>
      <w:pPr>
        <w:spacing w:after="60" w:line="264"/>
        <w:jc w:val="both"/>
      </w:pPr>
      <w:r>
        <w:rPr>
          <w:rFonts w:ascii="Calibri" w:cs="Calibri" w:eastAsia="Calibri" w:hAnsi="Calibri"/>
          <w:sz w:val="19"/>
          <w:szCs w:val="19"/>
        </w:rPr>
        <w:t xml:space="preserve">Where an agreement exists in English and Arabic and is governed by onshore law, the Arabic text governs in a dispute. An English-only NDA is workable in practice but carries risk; for anything commercially significant, use a bilingual version prepared by a qualified legal translator.</w:t>
      </w:r>
    </w:p>
    <w:p>
      <w:pPr>
        <w:keepNext/>
        <w:spacing w:after="40" w:before="140"/>
      </w:pPr>
      <w:r>
        <w:rPr>
          <w:rFonts w:ascii="Calibri" w:cs="Calibri" w:eastAsia="Calibri" w:hAnsi="Calibri"/>
          <w:b/>
          <w:bCs/>
          <w:color w:val="14161B"/>
          <w:sz w:val="20"/>
          <w:szCs w:val="20"/>
        </w:rPr>
        <w:t xml:space="preserve">Finite duration with a trade secret tail</w:t>
      </w:r>
    </w:p>
    <w:p>
      <w:pPr>
        <w:spacing w:after="60" w:line="264"/>
        <w:jc w:val="both"/>
      </w:pPr>
      <w:r>
        <w:rPr>
          <w:rFonts w:ascii="Calibri" w:cs="Calibri" w:eastAsia="Calibri" w:hAnsi="Calibri"/>
          <w:sz w:val="19"/>
          <w:szCs w:val="19"/>
        </w:rPr>
        <w:t xml:space="preserve">Perpetual confidentiality over ordinary commercial information is rarely enforced and marks the drafter as inexperienced. Three to five years from disclosure is standard, with an indefinite tail for genuine trade secrets and personal data.</w:t>
      </w:r>
    </w:p>
    <w:p>
      <w:pPr>
        <w:keepNext/>
        <w:spacing w:after="40" w:before="140"/>
      </w:pPr>
      <w:r>
        <w:rPr>
          <w:rFonts w:ascii="Calibri" w:cs="Calibri" w:eastAsia="Calibri" w:hAnsi="Calibri"/>
          <w:b/>
          <w:bCs/>
          <w:color w:val="14161B"/>
          <w:sz w:val="20"/>
          <w:szCs w:val="20"/>
        </w:rPr>
        <w:t xml:space="preserve">Allow for backups</w:t>
      </w:r>
    </w:p>
    <w:p>
      <w:pPr>
        <w:spacing w:after="60" w:line="264"/>
        <w:jc w:val="both"/>
      </w:pPr>
      <w:r>
        <w:rPr>
          <w:rFonts w:ascii="Calibri" w:cs="Calibri" w:eastAsia="Calibri" w:hAnsi="Calibri"/>
          <w:sz w:val="19"/>
          <w:szCs w:val="19"/>
        </w:rPr>
        <w:t xml:space="preserve">Return-and-destroy clauses with no carve-out are breached the moment they are signed, because backup systems cannot be selectively purged. Clause 6.2 permits retention under continuing obligations, which is honest and enforceable.</w:t>
      </w:r>
    </w:p>
    <w:p>
      <w:pPr>
        <w:keepNext/>
        <w:spacing w:after="40" w:before="140"/>
      </w:pPr>
      <w:r>
        <w:rPr>
          <w:rFonts w:ascii="Calibri" w:cs="Calibri" w:eastAsia="Calibri" w:hAnsi="Calibri"/>
          <w:b/>
          <w:bCs/>
          <w:color w:val="14161B"/>
          <w:sz w:val="20"/>
          <w:szCs w:val="20"/>
        </w:rPr>
        <w:t xml:space="preserve">Watch for a residuals clause</w:t>
      </w:r>
    </w:p>
    <w:p>
      <w:pPr>
        <w:spacing w:after="60" w:line="264"/>
        <w:jc w:val="both"/>
      </w:pPr>
      <w:r>
        <w:rPr>
          <w:rFonts w:ascii="Calibri" w:cs="Calibri" w:eastAsia="Calibri" w:hAnsi="Calibri"/>
          <w:sz w:val="19"/>
          <w:szCs w:val="19"/>
        </w:rPr>
        <w:t xml:space="preserve">Some NDAs permit the recipient to use information retained in the unaided memory of its personnel. That is a substantial carve-out that can swallow the agreement, particularly where disclosure is conceptual rather than documentary. It is not in this template — check whether it appears in one you are asked to sign.</w:t>
      </w:r>
    </w:p>
    <w:p>
      <w:pPr>
        <w:keepNext/>
        <w:spacing w:after="40" w:before="140"/>
      </w:pPr>
      <w:r>
        <w:rPr>
          <w:rFonts w:ascii="Calibri" w:cs="Calibri" w:eastAsia="Calibri" w:hAnsi="Calibri"/>
          <w:b/>
          <w:bCs/>
          <w:color w:val="14161B"/>
          <w:sz w:val="20"/>
          <w:szCs w:val="20"/>
        </w:rPr>
        <w:t xml:space="preserve">Combinations matter</w:t>
      </w:r>
    </w:p>
    <w:p>
      <w:pPr>
        <w:spacing w:after="60" w:line="264"/>
        <w:jc w:val="both"/>
      </w:pPr>
      <w:r>
        <w:rPr>
          <w:rFonts w:ascii="Calibri" w:cs="Calibri" w:eastAsia="Calibri" w:hAnsi="Calibri"/>
          <w:sz w:val="19"/>
          <w:szCs w:val="19"/>
        </w:rPr>
        <w:t xml:space="preserve">Clause 2.3 prevents the argument that a valuable combination — a customer list, a pricing model, an architecture — falls outside protection because each component is individually public. It is frequently omitted and frequently exploited.</w:t>
      </w:r>
    </w:p>
    <w:p>
      <w:pPr>
        <w:keepNext/>
        <w:spacing w:after="40" w:before="140"/>
      </w:pPr>
      <w:r>
        <w:rPr>
          <w:rFonts w:ascii="Calibri" w:cs="Calibri" w:eastAsia="Calibri" w:hAnsi="Calibri"/>
          <w:b/>
          <w:bCs/>
          <w:color w:val="14161B"/>
          <w:sz w:val="20"/>
          <w:szCs w:val="20"/>
        </w:rPr>
        <w:t xml:space="preserve">Establish which jurisdiction each party sits in</w:t>
      </w:r>
    </w:p>
    <w:p>
      <w:pPr>
        <w:spacing w:after="60" w:line="264"/>
        <w:jc w:val="both"/>
      </w:pPr>
      <w:r>
        <w:rPr>
          <w:rFonts w:ascii="Calibri" w:cs="Calibri" w:eastAsia="Calibri" w:hAnsi="Calibri"/>
          <w:sz w:val="19"/>
          <w:szCs w:val="19"/>
        </w:rPr>
        <w:t xml:space="preserve">Onshore, ordinary free zone, DIFC and ADGM are different for governing law, forum and data protection. A disclosure between parties in different regimes may be a cross-border data transfer requiring safeguards — and the mainland is not on the DIFC adequacy list.</w:t>
      </w:r>
    </w:p>
    <w:p>
      <w:pPr>
        <w:keepNext/>
        <w:spacing w:after="40" w:before="140"/>
      </w:pPr>
      <w:r>
        <w:rPr>
          <w:rFonts w:ascii="Calibri" w:cs="Calibri" w:eastAsia="Calibri" w:hAnsi="Calibri"/>
          <w:b/>
          <w:bCs/>
          <w:color w:val="14161B"/>
          <w:sz w:val="20"/>
          <w:szCs w:val="20"/>
        </w:rPr>
        <w:t xml:space="preserve">Decide who the recipient may share with</w:t>
      </w:r>
    </w:p>
    <w:p>
      <w:pPr>
        <w:spacing w:after="60" w:line="264"/>
        <w:jc w:val="both"/>
      </w:pPr>
      <w:r>
        <w:rPr>
          <w:rFonts w:ascii="Calibri" w:cs="Calibri" w:eastAsia="Calibri" w:hAnsi="Calibri"/>
          <w:sz w:val="19"/>
          <w:szCs w:val="19"/>
        </w:rPr>
        <w:t xml:space="preserve">Advisers and directors are standard. Affiliates, contractors, prospective investors and outsourced developers are not, and should be addressed expressly. The recipient should remain responsible for anyone it discloses to.</w:t>
      </w:r>
    </w:p>
    <w:p>
      <w:pPr>
        <w:keepNext/>
        <w:spacing w:after="40" w:before="140"/>
      </w:pPr>
      <w:r>
        <w:rPr>
          <w:rFonts w:ascii="Calibri" w:cs="Calibri" w:eastAsia="Calibri" w:hAnsi="Calibri"/>
          <w:b/>
          <w:bCs/>
          <w:color w:val="14161B"/>
          <w:sz w:val="20"/>
          <w:szCs w:val="20"/>
        </w:rPr>
        <w:t xml:space="preserve">No warranty on accuracy</w:t>
      </w:r>
    </w:p>
    <w:p>
      <w:pPr>
        <w:spacing w:after="60" w:line="264"/>
        <w:jc w:val="both"/>
      </w:pPr>
      <w:r>
        <w:rPr>
          <w:rFonts w:ascii="Calibri" w:cs="Calibri" w:eastAsia="Calibri" w:hAnsi="Calibri"/>
          <w:sz w:val="19"/>
          <w:szCs w:val="19"/>
        </w:rPr>
        <w:t xml:space="preserve">Clause 5.2 protects the discloser against a claim founded on preliminary information later shown to be wrong. Representations belong in the definitive agreement after diligence, not in an NDA at the start of discussions.</w:t>
      </w:r>
    </w:p>
    <w:p>
      <w:pPr>
        <w:keepNext/>
        <w:spacing w:after="40" w:before="140"/>
      </w:pPr>
      <w:r>
        <w:rPr>
          <w:rFonts w:ascii="Calibri" w:cs="Calibri" w:eastAsia="Calibri" w:hAnsi="Calibri"/>
          <w:b/>
          <w:bCs/>
          <w:color w:val="14161B"/>
          <w:sz w:val="20"/>
          <w:szCs w:val="20"/>
        </w:rPr>
        <w:t xml:space="preserve">Confidentiality of the discussions themselves</w:t>
      </w:r>
    </w:p>
    <w:p>
      <w:pPr>
        <w:spacing w:after="60" w:line="264"/>
        <w:jc w:val="both"/>
      </w:pPr>
      <w:r>
        <w:rPr>
          <w:rFonts w:ascii="Calibri" w:cs="Calibri" w:eastAsia="Calibri" w:hAnsi="Calibri"/>
          <w:sz w:val="19"/>
          <w:szCs w:val="19"/>
        </w:rPr>
        <w:t xml:space="preserve">The definition covers the existence and content of the discussions. For a company in a financing or an acquisition that is often the most sensitive item, and the one most likely to leak informally.</w:t>
      </w:r>
    </w:p>
    <w:p>
      <w:pPr>
        <w:keepNext/>
        <w:spacing w:after="40" w:before="140"/>
      </w:pPr>
      <w:r>
        <w:rPr>
          <w:rFonts w:ascii="Calibri" w:cs="Calibri" w:eastAsia="Calibri" w:hAnsi="Calibri"/>
          <w:b/>
          <w:bCs/>
          <w:color w:val="14161B"/>
          <w:sz w:val="20"/>
          <w:szCs w:val="20"/>
        </w:rPr>
        <w:t xml:space="preserve">An NDA does not replace access control</w:t>
      </w:r>
    </w:p>
    <w:p>
      <w:pPr>
        <w:spacing w:after="60" w:line="264"/>
        <w:jc w:val="both"/>
      </w:pPr>
      <w:r>
        <w:rPr>
          <w:rFonts w:ascii="Calibri" w:cs="Calibri" w:eastAsia="Calibri" w:hAnsi="Calibri"/>
          <w:sz w:val="19"/>
          <w:szCs w:val="19"/>
        </w:rPr>
        <w:t xml:space="preserve">The most effective protection is disclosing less — staging the information, redacting what is not yet needed, and using a controlled data room with access logs. An NDA provides a remedy after the harm; access control prevents it.</w:t>
      </w:r>
    </w:p>
    <w:p>
      <w:pPr>
        <w:keepNext/>
        <w:spacing w:after="40" w:before="140"/>
      </w:pPr>
      <w:r>
        <w:rPr>
          <w:rFonts w:ascii="Calibri" w:cs="Calibri" w:eastAsia="Calibri" w:hAnsi="Calibri"/>
          <w:b/>
          <w:bCs/>
          <w:color w:val="14161B"/>
          <w:sz w:val="20"/>
          <w:szCs w:val="20"/>
        </w:rPr>
        <w:t xml:space="preserve">Be honest about mutuality</w:t>
      </w:r>
    </w:p>
    <w:p>
      <w:pPr>
        <w:spacing w:after="60" w:line="264"/>
        <w:jc w:val="both"/>
      </w:pPr>
      <w:r>
        <w:rPr>
          <w:rFonts w:ascii="Calibri" w:cs="Calibri" w:eastAsia="Calibri" w:hAnsi="Calibri"/>
          <w:sz w:val="19"/>
          <w:szCs w:val="19"/>
        </w:rPr>
        <w:t xml:space="preserve">Presenting a one-way NDA where both parties will plainly disclose sets a poor tone and usually gets amended anyway. Use the mutual form where both sides will share.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Data protection regimes, DIFC and ADGM court jurisdiction, arbitration frameworks and translation requirements all change — have an NDA reviewed by a UAE lawyer where the disclosure is commercially significant, and never sign one presented as standard without reading the Purpose, duration and forum clauses.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2026-08-23T16:28:34.165Z</dcterms:created>
  <dcterms:modified xsi:type="dcterms:W3CDTF">2026-08-23T16:28:34.165Z</dcterms:modified>
</cp:coreProperties>
</file>

<file path=docProps/custom.xml><?xml version="1.0" encoding="utf-8"?>
<Properties xmlns="http://schemas.openxmlformats.org/officeDocument/2006/custom-properties" xmlns:vt="http://schemas.openxmlformats.org/officeDocument/2006/docPropsVTypes"/>
</file>