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MEMORANDUM OF ASSOCIATION</w:t>
      </w:r>
    </w:p>
    <w:p>
      <w:pPr>
        <w:spacing w:after="260"/>
        <w:jc w:val="center"/>
      </w:pPr>
      <w:r>
        <w:rPr>
          <w:rFonts w:ascii="Calibri" w:cs="Calibri" w:eastAsia="Calibri" w:hAnsi="Calibri"/>
          <w:i/>
          <w:iCs/>
          <w:color w:val="6E7480"/>
          <w:sz w:val="19"/>
          <w:szCs w:val="19"/>
        </w:rPr>
        <w:t xml:space="preserve">Mainland LLC — constitution, amendments and resolutions</w:t>
      </w:r>
    </w:p>
    <w:p>
      <w:pPr>
        <w:spacing w:after="180" w:before="0" w:line="276"/>
        <w:jc w:val="both"/>
      </w:pPr>
      <w:r>
        <w:rPr>
          <w:rFonts w:ascii="Calibri" w:cs="Calibri" w:eastAsia="Calibri" w:hAnsi="Calibri"/>
          <w:i/>
          <w:iCs/>
          <w:color w:val="6E7480"/>
          <w:sz w:val="21"/>
          <w:szCs w:val="21"/>
        </w:rPr>
        <w:t xml:space="preserve">The mainland constitutional document is a </w:t>
      </w:r>
      <w:r>
        <w:rPr>
          <w:rFonts w:ascii="Calibri" w:cs="Calibri" w:eastAsia="Calibri" w:hAnsi="Calibri"/>
          <w:b/>
          <w:bCs/>
          <w:i/>
          <w:iCs/>
          <w:color w:val="6E7480"/>
          <w:sz w:val="21"/>
          <w:szCs w:val="21"/>
        </w:rPr>
        <w:t xml:space="preserve">Memorandum of Association</w:t>
      </w:r>
      <w:r>
        <w:rPr>
          <w:rFonts w:ascii="Calibri" w:cs="Calibri" w:eastAsia="Calibri" w:hAnsi="Calibri"/>
          <w:i/>
          <w:iCs/>
          <w:color w:val="6E7480"/>
          <w:sz w:val="21"/>
          <w:szCs w:val="21"/>
        </w:rPr>
        <w:t xml:space="preserve">, notarised before a UAE notary, with the </w:t>
      </w:r>
      <w:r>
        <w:rPr>
          <w:rFonts w:ascii="Calibri" w:cs="Calibri" w:eastAsia="Calibri" w:hAnsi="Calibri"/>
          <w:b/>
          <w:bCs/>
          <w:i/>
          <w:iCs/>
          <w:color w:val="6E7480"/>
          <w:sz w:val="21"/>
          <w:szCs w:val="21"/>
        </w:rPr>
        <w:t xml:space="preserve">Arabic text operative</w:t>
      </w:r>
      <w:r>
        <w:rPr>
          <w:rFonts w:ascii="Calibri" w:cs="Calibri" w:eastAsia="Calibri" w:hAnsi="Calibri"/>
          <w:i/>
          <w:iCs/>
          <w:color w:val="6E7480"/>
          <w:sz w:val="21"/>
          <w:szCs w:val="21"/>
        </w:rPr>
        <w:t xml:space="preserve">. That single fact drives everything awkward about mainland corporate housekeeping: amendments need notarisation, share transfers need notarisation and DED approval, and nothing can be done quietly by written resolution the way it can in a common-law jurisdiction.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b/>
                <w:bCs/>
                <w:sz w:val="19"/>
                <w:szCs w:val="19"/>
              </w:rPr>
              <w:t xml:space="preserve"> L.L.C.</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 and authority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w:t>
            </w:r>
            <w:r>
              <w:rPr>
                <w:rFonts w:ascii="Calibri" w:cs="Calibri" w:eastAsia="Calibri" w:hAnsi="Calibri"/>
                <w:sz w:val="19"/>
                <w:szCs w:val="19"/>
              </w:rPr>
              <w:t xml:space="preserve"> — </w:t>
            </w:r>
            <w:r>
              <w:rPr>
                <w:rFonts w:ascii="Calibri" w:cs="Calibri" w:eastAsia="Calibri" w:hAnsi="Calibri"/>
                <w:b/>
                <w:bCs/>
                <w:sz w:val="19"/>
                <w:szCs w:val="19"/>
              </w:rPr>
              <w:t xml:space="preserve">[DED / DET]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MOA notarised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  Notary reference: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Amendments to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most recent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capital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divided into </w:t>
            </w:r>
            <w:r>
              <w:rPr>
                <w:rFonts w:ascii="Calibri" w:cs="Calibri" w:eastAsia="Calibri" w:hAnsi="Calibri"/>
                <w:b/>
                <w:bCs/>
                <w:sz w:val="19"/>
                <w:szCs w:val="19"/>
              </w:rPr>
              <w:t xml:space="preserve">[NUMBER]</w:t>
            </w:r>
            <w:r>
              <w:rPr>
                <w:rFonts w:ascii="Calibri" w:cs="Calibri" w:eastAsia="Calibri" w:hAnsi="Calibri"/>
                <w:sz w:val="19"/>
                <w:szCs w:val="19"/>
              </w:rPr>
              <w:t xml:space="preserve"> shares of </w:t>
            </w: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PERCENTAGES]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Manager powers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[Set out in the MOA — see Section 3]</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Language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Arabic operative</w:t>
            </w:r>
            <w:r>
              <w:rPr>
                <w:rFonts w:ascii="Calibri" w:cs="Calibri" w:eastAsia="Calibri" w:hAnsi="Calibri"/>
                <w:sz w:val="19"/>
                <w:szCs w:val="19"/>
              </w:rPr>
              <w:t xml:space="preserve">; English for convenience only</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THE MOA MUST COVER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084"/>
        <w:gridCol w:w="6169"/>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Provision</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name and legal form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include the legal form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address</w:t>
            </w:r>
          </w:p>
        </w:tc>
        <w:tc>
          <w:tcPr>
            <w:tcW w:type="dxa" w:w="6169"/>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Objects and activities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align with the licensed activities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capital and its division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Number and value of shares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 and their holdings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Names, nationalities, addresses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 appointment and powers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single most important commercial provision — see Section 3</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Profit and loss distribution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May differ from shareholding if agreed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Decision thresholds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 and reserved matters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Pre-emption on transfer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Existing shareholders’ rights of first refusal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Financial year and accounts</w:t>
            </w:r>
          </w:p>
        </w:tc>
        <w:tc>
          <w:tcPr>
            <w:tcW w:type="dxa" w:w="6169"/>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reserve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Allocation from profits until the prescribed level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Dissolution</w:t>
            </w:r>
          </w:p>
        </w:tc>
        <w:tc>
          <w:tcPr>
            <w:tcW w:type="dxa" w:w="6169"/>
            <w:tcMar>
              <w:top w:type="dxa" w:w="70"/>
              <w:left w:type="dxa" w:w="100"/>
              <w:bottom w:type="dxa" w:w="70"/>
              <w:right w:type="dxa" w:w="100"/>
            </w:tcMar>
            <w:vAlign w:val="center"/>
          </w:tcPr>
          <w:p>
            <w:pPr>
              <w:spacing w:after="0" w:line="240"/>
              <w:jc w:val="left"/>
            </w:pPr>
          </w:p>
        </w:tc>
      </w:tr>
    </w:tbl>
    <w:p>
      <w:pPr>
        <w:keepNext/>
        <w:spacing w:after="120" w:before="280"/>
        <w:outlineLvl w:val="0"/>
      </w:pPr>
      <w:r>
        <w:rPr>
          <w:rFonts w:ascii="Calibri" w:cs="Calibri" w:eastAsia="Calibri" w:hAnsi="Calibri"/>
          <w:b/>
          <w:bCs/>
          <w:color w:val="14161B"/>
          <w:sz w:val="22"/>
          <w:szCs w:val="22"/>
        </w:rPr>
        <w:t xml:space="preserve">2. WHAT REQUIRES NOTARISATION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2120"/>
        <w:gridCol w:w="385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Notarisation</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approval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Incorporation MOA</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 initial approval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 transfer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DED approval</w:t>
            </w:r>
            <w:r>
              <w:rPr>
                <w:rFonts w:ascii="Calibri" w:cs="Calibri" w:eastAsia="Calibri" w:hAnsi="Calibri"/>
                <w:sz w:val="18"/>
                <w:szCs w:val="18"/>
              </w:rPr>
              <w:t xml:space="preserve">; pre-emption waivers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share capital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manager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 licence amendment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objects or activities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 possible regulator approval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company 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reservation; DED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registered address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 new tenancy and Ejari</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Admission of a new shareholder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 UBO update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board or manager decisions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Internal record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mandate changes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requirements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Plan for this. A share transfer that would take an afternoon in a common-law jurisdiction requires notary appointments with the parties present or properly represented by attested power of attorney, plus DED approval. Where a shareholder is overseas, add weeks for the power of attorney to be notarised, legalised and attested.</w:t>
      </w:r>
    </w:p>
    <w:p>
      <w:pPr>
        <w:keepNext/>
        <w:spacing w:after="120" w:before="280"/>
        <w:outlineLvl w:val="0"/>
      </w:pPr>
      <w:r>
        <w:rPr>
          <w:rFonts w:ascii="Calibri" w:cs="Calibri" w:eastAsia="Calibri" w:hAnsi="Calibri"/>
          <w:b/>
          <w:bCs/>
          <w:color w:val="14161B"/>
          <w:sz w:val="22"/>
          <w:szCs w:val="22"/>
        </w:rPr>
        <w:t xml:space="preserve">3. MANAGER POWERS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mainland LLC is run by one or more </w:t>
      </w:r>
      <w:r>
        <w:rPr>
          <w:rFonts w:ascii="Calibri" w:cs="Calibri" w:eastAsia="Calibri" w:hAnsi="Calibri"/>
          <w:b/>
          <w:bCs/>
          <w:sz w:val="21"/>
          <w:szCs w:val="21"/>
        </w:rPr>
        <w:t xml:space="preserve">managers</w:t>
      </w:r>
      <w:r>
        <w:rPr>
          <w:rFonts w:ascii="Calibri" w:cs="Calibri" w:eastAsia="Calibri" w:hAnsi="Calibri"/>
          <w:sz w:val="21"/>
          <w:szCs w:val="21"/>
        </w:rPr>
        <w:t xml:space="preserve">, not a board of directors. The manager’s authority comes from the MOA and the licence.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MOA should state clearly: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what the manager may do alone;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what requires shareholder approval, and at what threshold;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financial limits on commitments, borrowing and disposals;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whether the manager may delegate, and to whom;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how the manager is appointed, removed and replaced.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A third party dealing with the company in good faith may rely on the manager’s apparent authority.</w:t>
      </w:r>
      <w:r>
        <w:rPr>
          <w:rFonts w:ascii="Calibri" w:cs="Calibri" w:eastAsia="Calibri" w:hAnsi="Calibri"/>
          <w:sz w:val="21"/>
          <w:szCs w:val="21"/>
        </w:rPr>
        <w:t xml:space="preserve"> Internal limits not reflected in the MOA or the licence may not bind that third party.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This is the provision worth spending time on. Managers are frequently given broad powers at incorporation because it is simpler, and the shareholders then have no mechanism to control commitments. Set thresholds deliberately.</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SHAREHOLDER DECISIONS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4048"/>
      </w:tblGrid>
      <w:tr>
        <w:trPr>
          <w:cantSplit/>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Decision</w:t>
            </w:r>
          </w:p>
        </w:tc>
        <w:tc>
          <w:tcPr>
            <w:tcW w:type="dxa" w:w="40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 threshold</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Approving annual accounts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[Simple majority]</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Distributing profits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[Simple majority]</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Appointing or removing a manager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 stated in the MOA]</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Amending the MOA</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[Higher threshold — state it]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Increasing or reducing capital</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[Higher threshold]</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Admitting a new shareholder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[Higher threshold]</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objects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[Higher threshold]</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Winding up</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[Higher threshold]</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Related party transactions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[Disinterested shareholders]</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Decisions are recorded in minutes or written resolutions and kept with the corporate records. Those requiring notarisation take effect only on notarisation and, where applicable, DED registration.</w:t>
      </w:r>
    </w:p>
    <w:p>
      <w:pPr>
        <w:keepNext/>
        <w:spacing w:after="120" w:before="280"/>
        <w:outlineLvl w:val="0"/>
      </w:pPr>
      <w:r>
        <w:rPr>
          <w:rFonts w:ascii="Calibri" w:cs="Calibri" w:eastAsia="Calibri" w:hAnsi="Calibri"/>
          <w:b/>
          <w:bCs/>
          <w:color w:val="14161B"/>
          <w:sz w:val="22"/>
          <w:szCs w:val="22"/>
        </w:rPr>
        <w:t xml:space="preserve">5. SHARE TRANSFERS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3662"/>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pre-emption rights in the MOA</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Existing shareholders usually have first refusal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Obtain waivers from non-participating shareholders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 writing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 resolution approving the transfer</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Threshold per the MOA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incoming shareholder is eligible for the activity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Strategic-impact activities may restrict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Prepare the amended MOA</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Reflecting the new holdings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Notarise before a UAE notary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Parties present or by attested POA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DED approval and licence amendment</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Update the UBO register and file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Beneficial ownership may have changed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bank and update the mandate</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corporate records file</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Step 8 is the one most often forgotten. A share transfer that changes who holds 25% or more changes the beneficial ownership position, and the register must be updated and filed — not at the next renewal, but on the change.</w:t>
      </w:r>
    </w:p>
    <w:p>
      <w:pPr>
        <w:keepNext/>
        <w:spacing w:after="120" w:before="280"/>
        <w:outlineLvl w:val="0"/>
      </w:pPr>
      <w:r>
        <w:rPr>
          <w:rFonts w:ascii="Calibri" w:cs="Calibri" w:eastAsia="Calibri" w:hAnsi="Calibri"/>
          <w:b/>
          <w:bCs/>
          <w:color w:val="14161B"/>
          <w:sz w:val="22"/>
          <w:szCs w:val="22"/>
        </w:rPr>
        <w:t xml:space="preserve">6. CORPORATE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cantSplit/>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 and all renewals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Notarised MOA and every amendment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Shareholder resolutions and minutes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 appointment and removal documents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transfer documents and DED approvals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UBO register and filings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Establishment card and immigration file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Tenancy and Ejari registration</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Accounting records and financial statements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registrations, returns and correspondence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Powers of attorney granted and revoked</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Arabic text governs</w:t>
      </w:r>
    </w:p>
    <w:p>
      <w:pPr>
        <w:spacing w:after="60" w:line="264"/>
        <w:jc w:val="both"/>
      </w:pPr>
      <w:r>
        <w:rPr>
          <w:rFonts w:ascii="Calibri" w:cs="Calibri" w:eastAsia="Calibri" w:hAnsi="Calibri"/>
          <w:sz w:val="19"/>
          <w:szCs w:val="19"/>
        </w:rPr>
        <w:t xml:space="preserve">The notarised Arabic Memorandum of Association is the operative document. An English translation is for convenience and has no independent force. Where the two diverge — and translations do diverge — the Arabic prevails, so the English version should be prepared by a qualified legal translator rather than internally.</w:t>
      </w:r>
    </w:p>
    <w:p>
      <w:pPr>
        <w:keepNext/>
        <w:spacing w:after="40" w:before="140"/>
      </w:pPr>
      <w:r>
        <w:rPr>
          <w:rFonts w:ascii="Calibri" w:cs="Calibri" w:eastAsia="Calibri" w:hAnsi="Calibri"/>
          <w:b/>
          <w:bCs/>
          <w:color w:val="14161B"/>
          <w:sz w:val="20"/>
          <w:szCs w:val="20"/>
        </w:rPr>
        <w:t xml:space="preserve">Notarisation is the constraint that shapes everything</w:t>
      </w:r>
    </w:p>
    <w:p>
      <w:pPr>
        <w:spacing w:after="60" w:line="264"/>
        <w:jc w:val="both"/>
      </w:pPr>
      <w:r>
        <w:rPr>
          <w:rFonts w:ascii="Calibri" w:cs="Calibri" w:eastAsia="Calibri" w:hAnsi="Calibri"/>
          <w:sz w:val="19"/>
          <w:szCs w:val="19"/>
        </w:rPr>
        <w:t xml:space="preserve">Share transfers, capital changes, manager changes and object changes all require notarisation and DED approval. This is the single biggest practical difference from a common-law jurisdiction, where the same changes are board resolutions and register entries. Plan timelines accordingly.</w:t>
      </w:r>
    </w:p>
    <w:p>
      <w:pPr>
        <w:keepNext/>
        <w:spacing w:after="40" w:before="140"/>
      </w:pPr>
      <w:r>
        <w:rPr>
          <w:rFonts w:ascii="Calibri" w:cs="Calibri" w:eastAsia="Calibri" w:hAnsi="Calibri"/>
          <w:b/>
          <w:bCs/>
          <w:color w:val="14161B"/>
          <w:sz w:val="20"/>
          <w:szCs w:val="20"/>
        </w:rPr>
        <w:t xml:space="preserve">Overseas shareholders need attested powers of attorney</w:t>
      </w:r>
    </w:p>
    <w:p>
      <w:pPr>
        <w:spacing w:after="60" w:line="264"/>
        <w:jc w:val="both"/>
      </w:pPr>
      <w:r>
        <w:rPr>
          <w:rFonts w:ascii="Calibri" w:cs="Calibri" w:eastAsia="Calibri" w:hAnsi="Calibri"/>
          <w:sz w:val="19"/>
          <w:szCs w:val="19"/>
        </w:rPr>
        <w:t xml:space="preserve">A shareholder who cannot attend the notary must be represented under a power of attorney that is notarised in their own country, legalised through the UAE embassy and attested by the Ministry of Foreign Affairs. That process takes weeks and is the usual cause of a delayed transfer.</w:t>
      </w:r>
    </w:p>
    <w:p>
      <w:pPr>
        <w:keepNext/>
        <w:spacing w:after="40" w:before="140"/>
      </w:pPr>
      <w:r>
        <w:rPr>
          <w:rFonts w:ascii="Calibri" w:cs="Calibri" w:eastAsia="Calibri" w:hAnsi="Calibri"/>
          <w:b/>
          <w:bCs/>
          <w:color w:val="14161B"/>
          <w:sz w:val="20"/>
          <w:szCs w:val="20"/>
        </w:rPr>
        <w:t xml:space="preserve">Manager powers deserve real thought</w:t>
      </w:r>
    </w:p>
    <w:p>
      <w:pPr>
        <w:spacing w:after="60" w:line="264"/>
        <w:jc w:val="both"/>
      </w:pPr>
      <w:r>
        <w:rPr>
          <w:rFonts w:ascii="Calibri" w:cs="Calibri" w:eastAsia="Calibri" w:hAnsi="Calibri"/>
          <w:sz w:val="19"/>
          <w:szCs w:val="19"/>
        </w:rPr>
        <w:t xml:space="preserve">A mainland LLC has managers, not a board. Their authority flows from the MOA, and third parties dealing in good faith may rely on apparent authority regardless of internal limits. Broad powers granted at incorporation for simplicity leave shareholders without any control mechanism. Set financial thresholds deliberately.</w:t>
      </w:r>
    </w:p>
    <w:p>
      <w:pPr>
        <w:keepNext/>
        <w:spacing w:after="40" w:before="140"/>
      </w:pPr>
      <w:r>
        <w:rPr>
          <w:rFonts w:ascii="Calibri" w:cs="Calibri" w:eastAsia="Calibri" w:hAnsi="Calibri"/>
          <w:b/>
          <w:bCs/>
          <w:color w:val="14161B"/>
          <w:sz w:val="20"/>
          <w:szCs w:val="20"/>
        </w:rPr>
        <w:t xml:space="preserve">Objects must match the licence</w:t>
      </w:r>
    </w:p>
    <w:p>
      <w:pPr>
        <w:spacing w:after="60" w:line="264"/>
        <w:jc w:val="both"/>
      </w:pPr>
      <w:r>
        <w:rPr>
          <w:rFonts w:ascii="Calibri" w:cs="Calibri" w:eastAsia="Calibri" w:hAnsi="Calibri"/>
          <w:sz w:val="19"/>
          <w:szCs w:val="19"/>
        </w:rPr>
        <w:t xml:space="preserve">The activities in the MOA and the activities on the trade licence need to correspond. A mismatch surfaces at licence renewal, at a bank review, or when a regulator asks — and correcting it means another notarisation.</w:t>
      </w:r>
    </w:p>
    <w:p>
      <w:pPr>
        <w:keepNext/>
        <w:spacing w:after="40" w:before="140"/>
      </w:pPr>
      <w:r>
        <w:rPr>
          <w:rFonts w:ascii="Calibri" w:cs="Calibri" w:eastAsia="Calibri" w:hAnsi="Calibri"/>
          <w:b/>
          <w:bCs/>
          <w:color w:val="14161B"/>
          <w:sz w:val="20"/>
          <w:szCs w:val="20"/>
        </w:rPr>
        <w:t xml:space="preserve">Pre-emption rights are the shareholder protection that matters</w:t>
      </w:r>
    </w:p>
    <w:p>
      <w:pPr>
        <w:spacing w:after="60" w:line="264"/>
        <w:jc w:val="both"/>
      </w:pPr>
      <w:r>
        <w:rPr>
          <w:rFonts w:ascii="Calibri" w:cs="Calibri" w:eastAsia="Calibri" w:hAnsi="Calibri"/>
          <w:sz w:val="19"/>
          <w:szCs w:val="19"/>
        </w:rPr>
        <w:t xml:space="preserve">The MOA is where rights of first refusal on transfer live. Without them, a shareholder can sell to anyone, subject only to DED approval. For a company with more than one shareholder, this provision is worth getting right at incorporation rather than after a falling-out.</w:t>
      </w:r>
    </w:p>
    <w:p>
      <w:pPr>
        <w:keepNext/>
        <w:spacing w:after="40" w:before="140"/>
      </w:pPr>
      <w:r>
        <w:rPr>
          <w:rFonts w:ascii="Calibri" w:cs="Calibri" w:eastAsia="Calibri" w:hAnsi="Calibri"/>
          <w:b/>
          <w:bCs/>
          <w:color w:val="14161B"/>
          <w:sz w:val="20"/>
          <w:szCs w:val="20"/>
        </w:rPr>
        <w:t xml:space="preserve">Update the UBO register on transfer, not at renewal</w:t>
      </w:r>
    </w:p>
    <w:p>
      <w:pPr>
        <w:spacing w:after="60" w:line="264"/>
        <w:jc w:val="both"/>
      </w:pPr>
      <w:r>
        <w:rPr>
          <w:rFonts w:ascii="Calibri" w:cs="Calibri" w:eastAsia="Calibri" w:hAnsi="Calibri"/>
          <w:sz w:val="19"/>
          <w:szCs w:val="19"/>
        </w:rPr>
        <w:t xml:space="preserve">A transfer crossing the 25% threshold changes the beneficial ownership position and the register must be updated and filed on the change. This is the most commonly missed step in an otherwise well-executed transfer.</w:t>
      </w:r>
    </w:p>
    <w:p>
      <w:pPr>
        <w:keepNext/>
        <w:spacing w:after="40" w:before="140"/>
      </w:pPr>
      <w:r>
        <w:rPr>
          <w:rFonts w:ascii="Calibri" w:cs="Calibri" w:eastAsia="Calibri" w:hAnsi="Calibri"/>
          <w:b/>
          <w:bCs/>
          <w:color w:val="14161B"/>
          <w:sz w:val="20"/>
          <w:szCs w:val="20"/>
        </w:rPr>
        <w:t xml:space="preserve">A shareholders’ agreement sits alongside, not instead</w:t>
      </w:r>
    </w:p>
    <w:p>
      <w:pPr>
        <w:spacing w:after="60" w:line="264"/>
        <w:jc w:val="both"/>
      </w:pPr>
      <w:r>
        <w:rPr>
          <w:rFonts w:ascii="Calibri" w:cs="Calibri" w:eastAsia="Calibri" w:hAnsi="Calibri"/>
          <w:sz w:val="19"/>
          <w:szCs w:val="19"/>
        </w:rPr>
        <w:t xml:space="preserve">Investors will usually want a separate shareholders’ agreement covering reserved matters, information rights, transfer provisions and exit. It binds the parties contractually, but the MOA governs the company. Where they conflict, the position is awkward — so keep them aligned and amend both together.</w:t>
      </w:r>
    </w:p>
    <w:p>
      <w:pPr>
        <w:keepNext/>
        <w:spacing w:after="40" w:before="140"/>
      </w:pPr>
      <w:r>
        <w:rPr>
          <w:rFonts w:ascii="Calibri" w:cs="Calibri" w:eastAsia="Calibri" w:hAnsi="Calibri"/>
          <w:b/>
          <w:bCs/>
          <w:color w:val="14161B"/>
          <w:sz w:val="20"/>
          <w:szCs w:val="20"/>
        </w:rPr>
        <w:t xml:space="preserve">Statutory reserve allocations are mandatory</w:t>
      </w:r>
    </w:p>
    <w:p>
      <w:pPr>
        <w:spacing w:after="60" w:line="264"/>
        <w:jc w:val="both"/>
      </w:pPr>
      <w:r>
        <w:rPr>
          <w:rFonts w:ascii="Calibri" w:cs="Calibri" w:eastAsia="Calibri" w:hAnsi="Calibri"/>
          <w:sz w:val="19"/>
          <w:szCs w:val="19"/>
        </w:rPr>
        <w:t xml:space="preserve">A proportion of annual profits must be allocated to a statutory reserve until it reaches the prescribed level. Companies distributing everything and ignoring the reserve create a problem visible in the first audited accounts.</w:t>
      </w:r>
    </w:p>
    <w:p>
      <w:pPr>
        <w:keepNext/>
        <w:spacing w:after="40" w:before="140"/>
      </w:pPr>
      <w:r>
        <w:rPr>
          <w:rFonts w:ascii="Calibri" w:cs="Calibri" w:eastAsia="Calibri" w:hAnsi="Calibri"/>
          <w:b/>
          <w:bCs/>
          <w:color w:val="14161B"/>
          <w:sz w:val="20"/>
          <w:szCs w:val="20"/>
        </w:rPr>
        <w:t xml:space="preserve">Keep the corporate file from day one</w:t>
      </w:r>
    </w:p>
    <w:p>
      <w:pPr>
        <w:spacing w:after="60" w:line="264"/>
        <w:jc w:val="both"/>
      </w:pPr>
      <w:r>
        <w:rPr>
          <w:rFonts w:ascii="Calibri" w:cs="Calibri" w:eastAsia="Calibri" w:hAnsi="Calibri"/>
          <w:sz w:val="19"/>
          <w:szCs w:val="19"/>
        </w:rPr>
        <w:t xml:space="preserve">The notarised MOA, every amendment, resolutions, transfer documents, DED approvals and UBO filings belong in one organised place. Companies reconstruct this painfully at their first financing, bank review or sale, and gaps in the chain of amendments are genuinely difficult to remedy retrospectively.</w:t>
      </w:r>
    </w:p>
    <w:p>
      <w:pPr>
        <w:keepNext/>
        <w:spacing w:after="40" w:before="140"/>
      </w:pPr>
      <w:r>
        <w:rPr>
          <w:rFonts w:ascii="Calibri" w:cs="Calibri" w:eastAsia="Calibri" w:hAnsi="Calibri"/>
          <w:b/>
          <w:bCs/>
          <w:color w:val="14161B"/>
          <w:sz w:val="20"/>
          <w:szCs w:val="20"/>
        </w:rPr>
        <w:t xml:space="preserve">Ordinary decisions do not need a notary</w:t>
      </w:r>
    </w:p>
    <w:p>
      <w:pPr>
        <w:spacing w:after="60" w:line="264"/>
        <w:jc w:val="both"/>
      </w:pPr>
      <w:r>
        <w:rPr>
          <w:rFonts w:ascii="Calibri" w:cs="Calibri" w:eastAsia="Calibri" w:hAnsi="Calibri"/>
          <w:sz w:val="19"/>
          <w:szCs w:val="19"/>
        </w:rPr>
        <w:t xml:space="preserve">Day-to-day manager decisions, bank mandate changes and internal approvals are recorded internally. Only the constitutional changes listed in Section 2 need notarisation. Companies sometimes over-formalise, which is expensive, or under-formalise the notarised items, which is worse.</w:t>
      </w:r>
    </w:p>
    <w:p>
      <w:pPr>
        <w:keepNext/>
        <w:spacing w:after="40" w:before="140"/>
      </w:pPr>
      <w:r>
        <w:rPr>
          <w:rFonts w:ascii="Calibri" w:cs="Calibri" w:eastAsia="Calibri" w:hAnsi="Calibri"/>
          <w:b/>
          <w:bCs/>
          <w:color w:val="14161B"/>
          <w:sz w:val="20"/>
          <w:szCs w:val="20"/>
        </w:rPr>
        <w:t xml:space="preserve">Redomiciliation is now possible</w:t>
      </w:r>
    </w:p>
    <w:p>
      <w:pPr>
        <w:spacing w:after="60" w:line="264"/>
        <w:jc w:val="both"/>
      </w:pPr>
      <w:r>
        <w:rPr>
          <w:rFonts w:ascii="Calibri" w:cs="Calibri" w:eastAsia="Calibri" w:hAnsi="Calibri"/>
          <w:sz w:val="19"/>
          <w:szCs w:val="19"/>
        </w:rPr>
        <w:t xml:space="preserve">Recent amendments to the Commercial Companies Law introduced a mechanism to transfer a company’s registration between competent authorities, including between mainland and free zones. Where the mainland formalities are genuinely obstructive to the business model, that is now an option rather than a restructuring.</w:t>
      </w:r>
    </w:p>
    <w:p>
      <w:pPr>
        <w:keepNext/>
        <w:spacing w:after="40" w:before="140"/>
      </w:pPr>
      <w:r>
        <w:rPr>
          <w:rFonts w:ascii="Calibri" w:cs="Calibri" w:eastAsia="Calibri" w:hAnsi="Calibri"/>
          <w:b/>
          <w:bCs/>
          <w:color w:val="14161B"/>
          <w:sz w:val="20"/>
          <w:szCs w:val="20"/>
        </w:rPr>
        <w:t xml:space="preserve">Check the activity against ownership restrictions on any transfer</w:t>
      </w:r>
    </w:p>
    <w:p>
      <w:pPr>
        <w:spacing w:after="60" w:line="264"/>
        <w:jc w:val="both"/>
      </w:pPr>
      <w:r>
        <w:rPr>
          <w:rFonts w:ascii="Calibri" w:cs="Calibri" w:eastAsia="Calibri" w:hAnsi="Calibri"/>
          <w:sz w:val="19"/>
          <w:szCs w:val="19"/>
        </w:rPr>
        <w:t xml:space="preserve">Bringing in a new shareholder to a company carrying a strategic-impact activity can raise ownership questions that did not arise at incorporation. Confirm before agreeing the transfer, not at the DED counter.</w:t>
      </w:r>
    </w:p>
    <w:p>
      <w:pPr>
        <w:keepNext/>
        <w:spacing w:after="40" w:before="140"/>
      </w:pPr>
      <w:r>
        <w:rPr>
          <w:rFonts w:ascii="Calibri" w:cs="Calibri" w:eastAsia="Calibri" w:hAnsi="Calibri"/>
          <w:b/>
          <w:bCs/>
          <w:color w:val="14161B"/>
          <w:sz w:val="20"/>
          <w:szCs w:val="20"/>
        </w:rPr>
        <w:t xml:space="preserve">Seven years for accounting and tax records</w:t>
      </w:r>
    </w:p>
    <w:p>
      <w:pPr>
        <w:spacing w:after="60" w:line="264"/>
        <w:jc w:val="both"/>
      </w:pPr>
      <w:r>
        <w:rPr>
          <w:rFonts w:ascii="Calibri" w:cs="Calibri" w:eastAsia="Calibri" w:hAnsi="Calibri"/>
          <w:sz w:val="19"/>
          <w:szCs w:val="19"/>
        </w:rPr>
        <w:t xml:space="preserve">Corporate tax and VAT both require records to be retained for seven years, and the period runs from the end of the relevant tax period rather than from the transaction. Build retention into the document management approach rather than deciding later.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Commercial Companies Law was amended by Federal Decree-Law 20 of 2025, and notarisation procedures, DED requirements, ownership restrictions and reserve requirements differ by emirate and change — confirm with the relevant Department of Economic Development and take legal advice before any constitutional change.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2026-08-23T16:28:33.992Z</dcterms:created>
  <dcterms:modified xsi:type="dcterms:W3CDTF">2026-08-23T16:28:33.992Z</dcterms:modified>
</cp:coreProperties>
</file>

<file path=docProps/custom.xml><?xml version="1.0" encoding="utf-8"?>
<Properties xmlns="http://schemas.openxmlformats.org/officeDocument/2006/custom-properties" xmlns:vt="http://schemas.openxmlformats.org/officeDocument/2006/docPropsVTypes"/>
</file>