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MARKETING AND ADVERTISING</w:t>
      </w:r>
    </w:p>
    <w:p>
      <w:pPr>
        <w:spacing w:after="260"/>
        <w:jc w:val="center"/>
      </w:pPr>
      <w:r>
        <w:rPr>
          <w:rFonts w:ascii="Calibri" w:cs="Calibri" w:eastAsia="Calibri" w:hAnsi="Calibri"/>
          <w:i/>
          <w:iCs/>
          <w:color w:val="6E7480"/>
          <w:sz w:val="19"/>
          <w:szCs w:val="19"/>
        </w:rPr>
        <w:t xml:space="preserve">Claims, promotions, permits and outreach</w:t>
      </w:r>
    </w:p>
    <w:p>
      <w:pPr>
        <w:spacing w:after="180" w:before="0" w:line="276"/>
        <w:jc w:val="both"/>
      </w:pPr>
      <w:r>
        <w:rPr>
          <w:rFonts w:ascii="Calibri" w:cs="Calibri" w:eastAsia="Calibri" w:hAnsi="Calibri"/>
          <w:i/>
          <w:iCs/>
          <w:color w:val="6E7480"/>
          <w:sz w:val="21"/>
          <w:szCs w:val="21"/>
        </w:rPr>
        <w:t xml:space="preserve">Three things catch marketing teams here. </w:t>
      </w:r>
      <w:r>
        <w:rPr>
          <w:rFonts w:ascii="Calibri" w:cs="Calibri" w:eastAsia="Calibri" w:hAnsi="Calibri"/>
          <w:b/>
          <w:bCs/>
          <w:i/>
          <w:iCs/>
          <w:color w:val="6E7480"/>
          <w:sz w:val="21"/>
          <w:szCs w:val="21"/>
        </w:rPr>
        <w:t xml:space="preserve">Promotions and prize draws generally need a permit.</w:t>
      </w:r>
      <w:r>
        <w:rPr>
          <w:rFonts w:ascii="Calibri" w:cs="Calibri" w:eastAsia="Calibri" w:hAnsi="Calibri"/>
          <w:i/>
          <w:iCs/>
          <w:color w:val="6E7480"/>
          <w:sz w:val="21"/>
          <w:szCs w:val="21"/>
        </w:rPr>
        <w:t xml:space="preserve"> </w:t>
      </w:r>
      <w:r>
        <w:rPr>
          <w:rFonts w:ascii="Calibri" w:cs="Calibri" w:eastAsia="Calibri" w:hAnsi="Calibri"/>
          <w:b/>
          <w:bCs/>
          <w:i/>
          <w:iCs/>
          <w:color w:val="6E7480"/>
          <w:sz w:val="21"/>
          <w:szCs w:val="21"/>
        </w:rPr>
        <w:t xml:space="preserve">Cold outreach is regulated</w:t>
      </w:r>
      <w:r>
        <w:rPr>
          <w:rFonts w:ascii="Calibri" w:cs="Calibri" w:eastAsia="Calibri" w:hAnsi="Calibri"/>
          <w:i/>
          <w:iCs/>
          <w:color w:val="6E7480"/>
          <w:sz w:val="21"/>
          <w:szCs w:val="21"/>
        </w:rPr>
        <w:t xml:space="preserve"> — the Do Not Call rules sit on top of data protection consent. And the </w:t>
      </w:r>
      <w:r>
        <w:rPr>
          <w:rFonts w:ascii="Calibri" w:cs="Calibri" w:eastAsia="Calibri" w:hAnsi="Calibri"/>
          <w:b/>
          <w:bCs/>
          <w:i/>
          <w:iCs/>
          <w:color w:val="6E7480"/>
          <w:sz w:val="21"/>
          <w:szCs w:val="21"/>
        </w:rPr>
        <w:t xml:space="preserve">cybercrime framework reaches marketing content</w:t>
      </w:r>
      <w:r>
        <w:rPr>
          <w:rFonts w:ascii="Calibri" w:cs="Calibri" w:eastAsia="Calibri" w:hAnsi="Calibri"/>
          <w:i/>
          <w:iCs/>
          <w:color w:val="6E7480"/>
          <w:sz w:val="21"/>
          <w:szCs w:val="21"/>
        </w:rPr>
        <w:t xml:space="preserve">, including images of people published without their consent.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protection regime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Channels used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[Website, email, SMS, calls, social, print, outdoor]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Promotions run?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permit position]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records held 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Suppression list maintained 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Approver of marketing content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CLAIMS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Rule</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 accurate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Claims must be truthful and capable of substantiation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Hold the evidence before publishing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after a challenge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Price claims must be honoured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advertised price is the price charged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Prices shown to consumers include VAT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Adding it at checkout is a contravention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Discount claims need a real previous price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must genuinely have been charged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Comparisons must be fair and like-for-like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And substantiated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Avoid absolute claims you cannot prove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"Best", "cheapest", "number 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Respect the culture and the law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Content offensive to religion or public morals is a serious matter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Arabic where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Labelling and certain consumer-facing content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Regulated sectors have their own rules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financial services, education, property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Keep the substantiation file with the campaign. A claim you could have proved at the time but cannot evidence six months later is, in practice, an unsubstantiated claim.</w:t>
      </w:r>
    </w:p>
    <w:p>
      <w:pPr>
        <w:keepNext/>
        <w:spacing w:after="120" w:before="280"/>
        <w:outlineLvl w:val="0"/>
      </w:pPr>
      <w:r>
        <w:rPr>
          <w:rFonts w:ascii="Calibri" w:cs="Calibri" w:eastAsia="Calibri" w:hAnsi="Calibri"/>
          <w:b/>
          <w:bCs/>
          <w:color w:val="14161B"/>
          <w:sz w:val="22"/>
          <w:szCs w:val="22"/>
        </w:rPr>
        <w:t xml:space="preserve">2. PROMOTIONS AND PRIZE DRAWS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Promotions, competitions, raffles and prize draws generally require a permit</w:t>
      </w:r>
      <w:r>
        <w:rPr>
          <w:rFonts w:ascii="Calibri" w:cs="Calibri" w:eastAsia="Calibri" w:hAnsi="Calibri"/>
          <w:sz w:val="21"/>
          <w:szCs w:val="21"/>
        </w:rPr>
        <w:t xml:space="preserve"> from the relevant economic department, with fees and conditions.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whether a permit is required for this mechanic</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in good time — before any announcement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Publish full terms and conditions before entry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State eligibility, dates, prizes, odds and how winners are chosen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Run the draw as stated, with a witness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Award the prizes as advertised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Obtain consent before publicising winners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Their image and name are personal data</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 the records the permit requires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Running a prize draw without the permit is a common and avoidable contravention. Social media giveaways are the version people do not think of as a promotion — they generally are.</w:t>
      </w:r>
    </w:p>
    <w:p>
      <w:pPr>
        <w:keepNext/>
        <w:spacing w:after="120" w:before="280"/>
        <w:outlineLvl w:val="0"/>
      </w:pPr>
      <w:r>
        <w:rPr>
          <w:rFonts w:ascii="Calibri" w:cs="Calibri" w:eastAsia="Calibri" w:hAnsi="Calibri"/>
          <w:b/>
          <w:bCs/>
          <w:color w:val="14161B"/>
          <w:sz w:val="22"/>
          <w:szCs w:val="22"/>
        </w:rPr>
        <w:t xml:space="preserve">3. OUTREACH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Channel</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or a permitted basis; identify the sender; a working opt-out in every message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SMS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w:t>
            </w:r>
            <w:r>
              <w:rPr>
                <w:rFonts w:ascii="Calibri" w:cs="Calibri" w:eastAsia="Calibri" w:hAnsi="Calibri"/>
                <w:b/>
                <w:bCs/>
                <w:sz w:val="18"/>
                <w:szCs w:val="18"/>
              </w:rPr>
              <w:t xml:space="preserve">the Do Not Call rules apply</w:t>
            </w:r>
            <w:r>
              <w:rPr>
                <w:rFonts w:ascii="Calibri" w:cs="Calibri" w:eastAsia="Calibri" w:hAnsi="Calibri"/>
                <w:sz w:val="18"/>
                <w:szCs w:val="18"/>
              </w:rPr>
              <w:t xml:space="preserve">; sender identification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Telephone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 Call registry must be respected</w:t>
            </w:r>
            <w:r>
              <w:rPr>
                <w:rFonts w:ascii="Calibri" w:cs="Calibri" w:eastAsia="Calibri" w:hAnsi="Calibri"/>
                <w:sz w:val="18"/>
                <w:szCs w:val="18"/>
              </w:rPr>
              <w:t xml:space="preserve">; restrictions on time and manner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WhatsApp and messaging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consent position; platform terms also apply</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Social media</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Platform terms; disclosure of paid content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Purchased or scraped lists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 use</w:t>
            </w:r>
            <w:r>
              <w:rPr>
                <w:rFonts w:ascii="Calibri" w:cs="Calibri" w:eastAsia="Calibri" w:hAnsi="Calibri"/>
                <w:sz w:val="18"/>
                <w:szCs w:val="18"/>
              </w:rPr>
              <w:t xml:space="preserve"> — you cannot demonstrate a lawful basis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customers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[Narrower basis may apply — confirm for the regime]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contacts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Still personal data where an individual is identifiable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The Do Not Call and marketing rules sit on top of data protection consent</w:t>
      </w:r>
      <w:r>
        <w:rPr>
          <w:rFonts w:ascii="Calibri" w:cs="Calibri" w:eastAsia="Calibri" w:hAnsi="Calibri"/>
          <w:sz w:val="21"/>
          <w:szCs w:val="21"/>
        </w:rPr>
        <w:t xml:space="preserve">, not instead of it. Meeting one does not satisfy the other, and telemarketing in particular is regulated separately.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Do not buy lists.</w:t>
      </w:r>
      <w:r>
        <w:rPr>
          <w:rFonts w:ascii="Calibri" w:cs="Calibri" w:eastAsia="Calibri" w:hAnsi="Calibri"/>
          <w:sz w:val="21"/>
          <w:szCs w:val="21"/>
        </w:rPr>
        <w:t xml:space="preserve"> A purchased list carries no demonstrable consent, no reliable suppression history and no way to answer a subject request. It is the fastest route to a complaint.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Honour an opt-out </w:t>
      </w:r>
      <w:r>
        <w:rPr>
          <w:rFonts w:ascii="Calibri" w:cs="Calibri" w:eastAsia="Calibri" w:hAnsi="Calibri"/>
          <w:b/>
          <w:bCs/>
          <w:sz w:val="21"/>
          <w:szCs w:val="21"/>
        </w:rPr>
        <w:t xml:space="preserve">immediately and across every channel</w:t>
      </w:r>
      <w:r>
        <w:rPr>
          <w:rFonts w:ascii="Calibri" w:cs="Calibri" w:eastAsia="Calibri" w:hAnsi="Calibri"/>
          <w:sz w:val="21"/>
          <w:szCs w:val="21"/>
        </w:rPr>
        <w:t xml:space="preserve">, not just the one it arrived 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CONSENT AND DATA</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Record for every marketing contact: </w:t>
      </w:r>
      <w:r>
        <w:rPr>
          <w:rFonts w:ascii="Calibri" w:cs="Calibri" w:eastAsia="Calibri" w:hAnsi="Calibri"/>
          <w:b/>
          <w:bCs/>
          <w:sz w:val="21"/>
          <w:szCs w:val="21"/>
        </w:rPr>
        <w:t xml:space="preserve">what they consented to, when, how, and the wording shown to them.</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Consent must be </w:t>
      </w:r>
      <w:r>
        <w:rPr>
          <w:rFonts w:ascii="Calibri" w:cs="Calibri" w:eastAsia="Calibri" w:hAnsi="Calibri"/>
          <w:b/>
          <w:bCs/>
          <w:sz w:val="21"/>
          <w:szCs w:val="21"/>
        </w:rPr>
        <w:t xml:space="preserve">separate from purchase or service delivery</w:t>
      </w:r>
      <w:r>
        <w:rPr>
          <w:rFonts w:ascii="Calibri" w:cs="Calibri" w:eastAsia="Calibri" w:hAnsi="Calibri"/>
          <w:sz w:val="21"/>
          <w:szCs w:val="21"/>
        </w:rPr>
        <w:t xml:space="preserve">. A single tick box covering both is not valid consent.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Maintain a </w:t>
      </w:r>
      <w:r>
        <w:rPr>
          <w:rFonts w:ascii="Calibri" w:cs="Calibri" w:eastAsia="Calibri" w:hAnsi="Calibri"/>
          <w:b/>
          <w:bCs/>
          <w:sz w:val="21"/>
          <w:szCs w:val="21"/>
        </w:rPr>
        <w:t xml:space="preserve">central suppression list</w:t>
      </w:r>
      <w:r>
        <w:rPr>
          <w:rFonts w:ascii="Calibri" w:cs="Calibri" w:eastAsia="Calibri" w:hAnsi="Calibri"/>
          <w:sz w:val="21"/>
          <w:szCs w:val="21"/>
        </w:rPr>
        <w:t xml:space="preserve"> applied across all channels, campaigns and systems, including any list held by an agency.</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an agency or platform processes personal data on your behalf, a </w:t>
      </w:r>
      <w:r>
        <w:rPr>
          <w:rFonts w:ascii="Calibri" w:cs="Calibri" w:eastAsia="Calibri" w:hAnsi="Calibri"/>
          <w:b/>
          <w:bCs/>
          <w:sz w:val="21"/>
          <w:szCs w:val="21"/>
        </w:rPr>
        <w:t xml:space="preserve">processing agreement</w:t>
      </w:r>
      <w:r>
        <w:rPr>
          <w:rFonts w:ascii="Calibri" w:cs="Calibri" w:eastAsia="Calibri" w:hAnsi="Calibri"/>
          <w:sz w:val="21"/>
          <w:szCs w:val="21"/>
        </w:rPr>
        <w:t xml:space="preserve"> is required, and the transfer position assessed where they sit outside your regime.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Marketing data is covered by your </w:t>
      </w:r>
      <w:r>
        <w:rPr>
          <w:rFonts w:ascii="Calibri" w:cs="Calibri" w:eastAsia="Calibri" w:hAnsi="Calibri"/>
          <w:b/>
          <w:bCs/>
          <w:sz w:val="21"/>
          <w:szCs w:val="21"/>
        </w:rPr>
        <w:t xml:space="preserve">privacy notice</w:t>
      </w:r>
      <w:r>
        <w:rPr>
          <w:rFonts w:ascii="Calibri" w:cs="Calibri" w:eastAsia="Calibri" w:hAnsi="Calibri"/>
          <w:sz w:val="21"/>
          <w:szCs w:val="21"/>
        </w:rPr>
        <w:t xml:space="preserve"> — say what you collect, why, who receives it and how to opt out.</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i/>
          <w:iCs/>
          <w:sz w:val="21"/>
          <w:szCs w:val="21"/>
        </w:rPr>
        <w:t xml:space="preserve">An objection to direct marketing is absolute. There is no balancing exercise, and continuing after an objection because the request went to the wrong inbox is not a defence.</w:t>
      </w:r>
    </w:p>
    <w:p>
      <w:pPr>
        <w:keepNext/>
        <w:spacing w:after="120" w:before="280"/>
        <w:outlineLvl w:val="0"/>
      </w:pPr>
      <w:r>
        <w:rPr>
          <w:rFonts w:ascii="Calibri" w:cs="Calibri" w:eastAsia="Calibri" w:hAnsi="Calibri"/>
          <w:b/>
          <w:bCs/>
          <w:color w:val="14161B"/>
          <w:sz w:val="22"/>
          <w:szCs w:val="22"/>
        </w:rPr>
        <w:t xml:space="preserve">5. CONTENT AND IMAGERY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Do not publish images of identifiable people without their consent.</w:t>
      </w:r>
      <w:r>
        <w:rPr>
          <w:rFonts w:ascii="Calibri" w:cs="Calibri" w:eastAsia="Calibri" w:hAnsi="Calibri"/>
          <w:sz w:val="21"/>
          <w:szCs w:val="21"/>
        </w:rPr>
        <w:t xml:space="preserve"> This applies to customers, staff, event attendees and members of the public, and it is among the most misunderstood rules here.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Obtain written consent for staff photographs used in marketing, and honour a withdrawal.</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Do not publish content that is defamatory, offensive to religion or public morals, or that spreads false information — the cybercrime framework reaches marketing content and social media.</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Do not use third party trade marks, images, music or copy without a licence.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Disclose paid partnerships and influencer content. </w:t>
      </w:r>
      <w:r>
        <w:rPr>
          <w:rFonts w:ascii="Calibri" w:cs="Calibri" w:eastAsia="Calibri" w:hAnsi="Calibri"/>
          <w:b/>
          <w:bCs/>
          <w:sz w:val="21"/>
          <w:szCs w:val="21"/>
        </w:rPr>
        <w:t xml:space="preserve">Influencers in the UAE generally require their own licence or permit</w:t>
      </w:r>
      <w:r>
        <w:rPr>
          <w:rFonts w:ascii="Calibri" w:cs="Calibri" w:eastAsia="Calibri" w:hAnsi="Calibri"/>
          <w:sz w:val="21"/>
          <w:szCs w:val="21"/>
        </w:rPr>
        <w:t xml:space="preserve"> — confirm the position before engaging one.</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i/>
          <w:iCs/>
          <w:sz w:val="21"/>
          <w:szCs w:val="21"/>
        </w:rPr>
        <w:t xml:space="preserve">Event photography is the routine trap. Photographing a room, publishing it, and being asked to remove someone who never agreed to appear.</w:t>
      </w:r>
    </w:p>
    <w:p>
      <w:pPr>
        <w:keepNext/>
        <w:spacing w:after="120" w:before="280"/>
        <w:outlineLvl w:val="0"/>
      </w:pPr>
      <w:r>
        <w:rPr>
          <w:rFonts w:ascii="Calibri" w:cs="Calibri" w:eastAsia="Calibri" w:hAnsi="Calibri"/>
          <w:b/>
          <w:bCs/>
          <w:color w:val="14161B"/>
          <w:sz w:val="22"/>
          <w:szCs w:val="22"/>
        </w:rPr>
        <w:t xml:space="preserve">6. BEFORE A CAMPAIGN GOES OUT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Claims accurate and substantiation held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Prices inclusive of VAT and honoured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Discount claims backed by a genuine previous price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Permit obtained where the mechanic requires one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Terms and conditions published before entry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Recipient list has recorded consent — not purchased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Suppression list applied across all channels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Call rules checked for calls and SMS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opt-out in every message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 held for every identifiable person shown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 IP licensed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Paid partnership disclosed; influencer licensed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Arabic provided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Sector-specific rules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Approved by </w:t>
            </w:r>
            <w:r>
              <w:rPr>
                <w:rFonts w:ascii="Calibri" w:cs="Calibri" w:eastAsia="Calibri" w:hAnsi="Calibri"/>
                <w:b/>
                <w:bCs/>
                <w:sz w:val="18"/>
                <w:szCs w:val="18"/>
              </w:rPr>
              <w:t xml:space="preserve">[NAME]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Promotions generally need a permit</w:t>
      </w:r>
    </w:p>
    <w:p>
      <w:pPr>
        <w:spacing w:after="60" w:line="264"/>
        <w:jc w:val="both"/>
      </w:pPr>
      <w:r>
        <w:rPr>
          <w:rFonts w:ascii="Calibri" w:cs="Calibri" w:eastAsia="Calibri" w:hAnsi="Calibri"/>
          <w:sz w:val="19"/>
          <w:szCs w:val="19"/>
        </w:rPr>
        <w:t xml:space="preserve">Competitions, raffles and prize draws typically require a permit from the relevant economic department, with fees and conditions. Social media giveaways are the version people do not think of as a promotion, and they generally are. Apply before announcing anything.</w:t>
      </w:r>
    </w:p>
    <w:p>
      <w:pPr>
        <w:keepNext/>
        <w:spacing w:after="40" w:before="140"/>
      </w:pPr>
      <w:r>
        <w:rPr>
          <w:rFonts w:ascii="Calibri" w:cs="Calibri" w:eastAsia="Calibri" w:hAnsi="Calibri"/>
          <w:b/>
          <w:bCs/>
          <w:color w:val="14161B"/>
          <w:sz w:val="20"/>
          <w:szCs w:val="20"/>
        </w:rPr>
        <w:t xml:space="preserve">Do Not Call sits on top of data protection</w:t>
      </w:r>
    </w:p>
    <w:p>
      <w:pPr>
        <w:spacing w:after="60" w:line="264"/>
        <w:jc w:val="both"/>
      </w:pPr>
      <w:r>
        <w:rPr>
          <w:rFonts w:ascii="Calibri" w:cs="Calibri" w:eastAsia="Calibri" w:hAnsi="Calibri"/>
          <w:sz w:val="19"/>
          <w:szCs w:val="19"/>
        </w:rPr>
        <w:t xml:space="preserve">Telemarketing and SMS are regulated separately from data protection consent, and meeting one does not satisfy the other. Check both before any calling or texting campaign to UAE numbers.</w:t>
      </w:r>
    </w:p>
    <w:p>
      <w:pPr>
        <w:keepNext/>
        <w:spacing w:after="40" w:before="140"/>
      </w:pPr>
      <w:r>
        <w:rPr>
          <w:rFonts w:ascii="Calibri" w:cs="Calibri" w:eastAsia="Calibri" w:hAnsi="Calibri"/>
          <w:b/>
          <w:bCs/>
          <w:color w:val="14161B"/>
          <w:sz w:val="20"/>
          <w:szCs w:val="20"/>
        </w:rPr>
        <w:t xml:space="preserve">Never buy or scrape lists</w:t>
      </w:r>
    </w:p>
    <w:p>
      <w:pPr>
        <w:spacing w:after="60" w:line="264"/>
        <w:jc w:val="both"/>
      </w:pPr>
      <w:r>
        <w:rPr>
          <w:rFonts w:ascii="Calibri" w:cs="Calibri" w:eastAsia="Calibri" w:hAnsi="Calibri"/>
          <w:sz w:val="19"/>
          <w:szCs w:val="19"/>
        </w:rPr>
        <w:t xml:space="preserve">A purchased list carries no demonstrable consent, no reliable suppression history and no way to answer a subject access request. It is the fastest route to a complaint and there is no way to remediate it afterwards.</w:t>
      </w:r>
    </w:p>
    <w:p>
      <w:pPr>
        <w:keepNext/>
        <w:spacing w:after="40" w:before="140"/>
      </w:pPr>
      <w:r>
        <w:rPr>
          <w:rFonts w:ascii="Calibri" w:cs="Calibri" w:eastAsia="Calibri" w:hAnsi="Calibri"/>
          <w:b/>
          <w:bCs/>
          <w:color w:val="14161B"/>
          <w:sz w:val="20"/>
          <w:szCs w:val="20"/>
        </w:rPr>
        <w:t xml:space="preserve">Publishing images of people needs consent</w:t>
      </w:r>
    </w:p>
    <w:p>
      <w:pPr>
        <w:spacing w:after="60" w:line="264"/>
        <w:jc w:val="both"/>
      </w:pPr>
      <w:r>
        <w:rPr>
          <w:rFonts w:ascii="Calibri" w:cs="Calibri" w:eastAsia="Calibri" w:hAnsi="Calibri"/>
          <w:sz w:val="19"/>
          <w:szCs w:val="19"/>
        </w:rPr>
        <w:t xml:space="preserve">Photographs of identifiable customers, staff, event attendees or members of the public published without permission engage the cybercrime framework as well as data protection. Event photography is the routine trap — photograph the room, publish it, then be asked to remove someone.</w:t>
      </w:r>
    </w:p>
    <w:p>
      <w:pPr>
        <w:keepNext/>
        <w:spacing w:after="40" w:before="140"/>
      </w:pPr>
      <w:r>
        <w:rPr>
          <w:rFonts w:ascii="Calibri" w:cs="Calibri" w:eastAsia="Calibri" w:hAnsi="Calibri"/>
          <w:b/>
          <w:bCs/>
          <w:color w:val="14161B"/>
          <w:sz w:val="20"/>
          <w:szCs w:val="20"/>
        </w:rPr>
        <w:t xml:space="preserve">Get written consent for staff images</w:t>
      </w:r>
    </w:p>
    <w:p>
      <w:pPr>
        <w:spacing w:after="60" w:line="264"/>
        <w:jc w:val="both"/>
      </w:pPr>
      <w:r>
        <w:rPr>
          <w:rFonts w:ascii="Calibri" w:cs="Calibri" w:eastAsia="Calibri" w:hAnsi="Calibri"/>
          <w:sz w:val="19"/>
          <w:szCs w:val="19"/>
        </w:rPr>
        <w:t xml:space="preserve">And honour a withdrawal, including from material already published where practicable. An employee who did not feel able to refuse has not really consented, which is the same problem as employee consent generally.</w:t>
      </w:r>
    </w:p>
    <w:p>
      <w:pPr>
        <w:keepNext/>
        <w:spacing w:after="40" w:before="140"/>
      </w:pPr>
      <w:r>
        <w:rPr>
          <w:rFonts w:ascii="Calibri" w:cs="Calibri" w:eastAsia="Calibri" w:hAnsi="Calibri"/>
          <w:b/>
          <w:bCs/>
          <w:color w:val="14161B"/>
          <w:sz w:val="20"/>
          <w:szCs w:val="20"/>
        </w:rPr>
        <w:t xml:space="preserve">Honour opt-outs immediately and across channels</w:t>
      </w:r>
    </w:p>
    <w:p>
      <w:pPr>
        <w:spacing w:after="60" w:line="264"/>
        <w:jc w:val="both"/>
      </w:pPr>
      <w:r>
        <w:rPr>
          <w:rFonts w:ascii="Calibri" w:cs="Calibri" w:eastAsia="Calibri" w:hAnsi="Calibri"/>
          <w:sz w:val="19"/>
          <w:szCs w:val="19"/>
        </w:rPr>
        <w:t xml:space="preserve">An objection to direct marketing is absolute — no balancing exercise applies. Continuing because the request arrived on a different channel or in the wrong inbox is not a defence, which is why the suppression list must be central.</w:t>
      </w:r>
    </w:p>
    <w:p>
      <w:pPr>
        <w:keepNext/>
        <w:spacing w:after="40" w:before="140"/>
      </w:pPr>
      <w:r>
        <w:rPr>
          <w:rFonts w:ascii="Calibri" w:cs="Calibri" w:eastAsia="Calibri" w:hAnsi="Calibri"/>
          <w:b/>
          <w:bCs/>
          <w:color w:val="14161B"/>
          <w:sz w:val="20"/>
          <w:szCs w:val="20"/>
        </w:rPr>
        <w:t xml:space="preserve">Consent must be separate from purchase</w:t>
      </w:r>
    </w:p>
    <w:p>
      <w:pPr>
        <w:spacing w:after="60" w:line="264"/>
        <w:jc w:val="both"/>
      </w:pPr>
      <w:r>
        <w:rPr>
          <w:rFonts w:ascii="Calibri" w:cs="Calibri" w:eastAsia="Calibri" w:hAnsi="Calibri"/>
          <w:sz w:val="19"/>
          <w:szCs w:val="19"/>
        </w:rPr>
        <w:t xml:space="preserve">A single tick box covering both service delivery and marketing is not valid consent. Ask separately, record what wording was shown, and keep the timestamp.</w:t>
      </w:r>
    </w:p>
    <w:p>
      <w:pPr>
        <w:keepNext/>
        <w:spacing w:after="40" w:before="140"/>
      </w:pPr>
      <w:r>
        <w:rPr>
          <w:rFonts w:ascii="Calibri" w:cs="Calibri" w:eastAsia="Calibri" w:hAnsi="Calibri"/>
          <w:b/>
          <w:bCs/>
          <w:color w:val="14161B"/>
          <w:sz w:val="20"/>
          <w:szCs w:val="20"/>
        </w:rPr>
        <w:t xml:space="preserve">Record the consent wording, not just the fact</w:t>
      </w:r>
    </w:p>
    <w:p>
      <w:pPr>
        <w:spacing w:after="60" w:line="264"/>
        <w:jc w:val="both"/>
      </w:pPr>
      <w:r>
        <w:rPr>
          <w:rFonts w:ascii="Calibri" w:cs="Calibri" w:eastAsia="Calibri" w:hAnsi="Calibri"/>
          <w:sz w:val="19"/>
          <w:szCs w:val="19"/>
        </w:rPr>
        <w:t xml:space="preserve">When a complaint arrives, the question is what the person actually agreed to. A flag saying "opted in" with no record of the wording or date answers nothing.</w:t>
      </w:r>
    </w:p>
    <w:p>
      <w:pPr>
        <w:keepNext/>
        <w:spacing w:after="40" w:before="140"/>
      </w:pPr>
      <w:r>
        <w:rPr>
          <w:rFonts w:ascii="Calibri" w:cs="Calibri" w:eastAsia="Calibri" w:hAnsi="Calibri"/>
          <w:b/>
          <w:bCs/>
          <w:color w:val="14161B"/>
          <w:sz w:val="20"/>
          <w:szCs w:val="20"/>
        </w:rPr>
        <w:t xml:space="preserve">Prices shown to consumers include VAT</w:t>
      </w:r>
    </w:p>
    <w:p>
      <w:pPr>
        <w:spacing w:after="60" w:line="264"/>
        <w:jc w:val="both"/>
      </w:pPr>
      <w:r>
        <w:rPr>
          <w:rFonts w:ascii="Calibri" w:cs="Calibri" w:eastAsia="Calibri" w:hAnsi="Calibri"/>
          <w:sz w:val="19"/>
          <w:szCs w:val="19"/>
        </w:rPr>
        <w:t xml:space="preserve">And the advertised price must be honoured. Adding VAT at checkout to a displayed price, or refusing to sell at the advertised price, is a contravention as well as a conversion problem.</w:t>
      </w:r>
    </w:p>
    <w:p>
      <w:pPr>
        <w:keepNext/>
        <w:spacing w:after="40" w:before="140"/>
      </w:pPr>
      <w:r>
        <w:rPr>
          <w:rFonts w:ascii="Calibri" w:cs="Calibri" w:eastAsia="Calibri" w:hAnsi="Calibri"/>
          <w:b/>
          <w:bCs/>
          <w:color w:val="14161B"/>
          <w:sz w:val="20"/>
          <w:szCs w:val="20"/>
        </w:rPr>
        <w:t xml:space="preserve">Keep the substantiation with the campaign</w:t>
      </w:r>
    </w:p>
    <w:p>
      <w:pPr>
        <w:spacing w:after="60" w:line="264"/>
        <w:jc w:val="both"/>
      </w:pPr>
      <w:r>
        <w:rPr>
          <w:rFonts w:ascii="Calibri" w:cs="Calibri" w:eastAsia="Calibri" w:hAnsi="Calibri"/>
          <w:sz w:val="19"/>
          <w:szCs w:val="19"/>
        </w:rPr>
        <w:t xml:space="preserve">A claim you could have proved at the time but cannot evidence six months later is, practically, unsubstantiated. File the evidence with the creative, not in someone’s inbox.</w:t>
      </w:r>
    </w:p>
    <w:p>
      <w:pPr>
        <w:keepNext/>
        <w:spacing w:after="40" w:before="140"/>
      </w:pPr>
      <w:r>
        <w:rPr>
          <w:rFonts w:ascii="Calibri" w:cs="Calibri" w:eastAsia="Calibri" w:hAnsi="Calibri"/>
          <w:b/>
          <w:bCs/>
          <w:color w:val="14161B"/>
          <w:sz w:val="20"/>
          <w:szCs w:val="20"/>
        </w:rPr>
        <w:t xml:space="preserve">Discount claims need a genuine previous price</w:t>
      </w:r>
    </w:p>
    <w:p>
      <w:pPr>
        <w:spacing w:after="60" w:line="264"/>
        <w:jc w:val="both"/>
      </w:pPr>
      <w:r>
        <w:rPr>
          <w:rFonts w:ascii="Calibri" w:cs="Calibri" w:eastAsia="Calibri" w:hAnsi="Calibri"/>
          <w:sz w:val="19"/>
          <w:szCs w:val="19"/>
        </w:rPr>
        <w:t xml:space="preserve">The higher price must actually have been charged, and several emirates regulate promotional pricing directly. Retain the evidence of the earlier price — it is what an inspection asks for.</w:t>
      </w:r>
    </w:p>
    <w:p>
      <w:pPr>
        <w:keepNext/>
        <w:spacing w:after="40" w:before="140"/>
      </w:pPr>
      <w:r>
        <w:rPr>
          <w:rFonts w:ascii="Calibri" w:cs="Calibri" w:eastAsia="Calibri" w:hAnsi="Calibri"/>
          <w:b/>
          <w:bCs/>
          <w:color w:val="14161B"/>
          <w:sz w:val="20"/>
          <w:szCs w:val="20"/>
        </w:rPr>
        <w:t xml:space="preserve">Influencers generally need their own licence</w:t>
      </w:r>
    </w:p>
    <w:p>
      <w:pPr>
        <w:spacing w:after="60" w:line="264"/>
        <w:jc w:val="both"/>
      </w:pPr>
      <w:r>
        <w:rPr>
          <w:rFonts w:ascii="Calibri" w:cs="Calibri" w:eastAsia="Calibri" w:hAnsi="Calibri"/>
          <w:sz w:val="19"/>
          <w:szCs w:val="19"/>
        </w:rPr>
        <w:t xml:space="preserve">Engaging an unlicensed influencer for paid promotion creates exposure for the brand as well as the individual. Confirm their licensing position and disclose the partnership.</w:t>
      </w:r>
    </w:p>
    <w:p>
      <w:pPr>
        <w:keepNext/>
        <w:spacing w:after="40" w:before="140"/>
      </w:pPr>
      <w:r>
        <w:rPr>
          <w:rFonts w:ascii="Calibri" w:cs="Calibri" w:eastAsia="Calibri" w:hAnsi="Calibri"/>
          <w:b/>
          <w:bCs/>
          <w:color w:val="14161B"/>
          <w:sz w:val="20"/>
          <w:szCs w:val="20"/>
        </w:rPr>
        <w:t xml:space="preserve">Agencies are processors</w:t>
      </w:r>
    </w:p>
    <w:p>
      <w:pPr>
        <w:spacing w:after="60" w:line="264"/>
        <w:jc w:val="both"/>
      </w:pPr>
      <w:r>
        <w:rPr>
          <w:rFonts w:ascii="Calibri" w:cs="Calibri" w:eastAsia="Calibri" w:hAnsi="Calibri"/>
          <w:sz w:val="19"/>
          <w:szCs w:val="19"/>
        </w:rPr>
        <w:t xml:space="preserve">Where an agency holds your marketing lists or runs campaigns on your behalf, a processing agreement is required, the suppression list must reach them, and the transfer position needs assessing where they sit outside your regime.</w:t>
      </w:r>
    </w:p>
    <w:p>
      <w:pPr>
        <w:keepNext/>
        <w:spacing w:after="40" w:before="140"/>
      </w:pPr>
      <w:r>
        <w:rPr>
          <w:rFonts w:ascii="Calibri" w:cs="Calibri" w:eastAsia="Calibri" w:hAnsi="Calibri"/>
          <w:b/>
          <w:bCs/>
          <w:color w:val="14161B"/>
          <w:sz w:val="20"/>
          <w:szCs w:val="20"/>
        </w:rPr>
        <w:t xml:space="preserve">Regulated sectors have their own rules</w:t>
      </w:r>
    </w:p>
    <w:p>
      <w:pPr>
        <w:spacing w:after="60" w:line="264"/>
        <w:jc w:val="both"/>
      </w:pPr>
      <w:r>
        <w:rPr>
          <w:rFonts w:ascii="Calibri" w:cs="Calibri" w:eastAsia="Calibri" w:hAnsi="Calibri"/>
          <w:sz w:val="19"/>
          <w:szCs w:val="19"/>
        </w:rPr>
        <w:t xml:space="preserve">Health, financial services, education and property marketing carry sector-specific advertising restrictions and sometimes pre-approval. Check the sector position before the general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Promotion permit requirements, Do Not Call and telemarketing rules, consumer price display obligations, influencer licensing, cybercrime provisions on content and imagery, and data protection regimes all differ by emirate and change — confirm with the relevant economic department and a UAE adviser before a significant campaign.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2026-08-23T16:28:33.113Z</dcterms:created>
  <dcterms:modified xsi:type="dcterms:W3CDTF">2026-08-23T16:28:33.113Z</dcterms:modified>
</cp:coreProperties>
</file>

<file path=docProps/custom.xml><?xml version="1.0" encoding="utf-8"?>
<Properties xmlns="http://schemas.openxmlformats.org/officeDocument/2006/custom-properties" xmlns:vt="http://schemas.openxmlformats.org/officeDocument/2006/docPropsVTypes"/>
</file>