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MANAGING CONTRACTS</w:t>
      </w:r>
    </w:p>
    <w:p>
      <w:pPr>
        <w:spacing w:after="260"/>
        <w:jc w:val="center"/>
      </w:pPr>
      <w:r>
        <w:rPr>
          <w:rFonts w:ascii="Calibri" w:cs="Calibri" w:eastAsia="Calibri" w:hAnsi="Calibri"/>
          <w:i/>
          <w:iCs/>
          <w:color w:val="6E7480"/>
          <w:sz w:val="19"/>
          <w:szCs w:val="19"/>
        </w:rPr>
        <w:t xml:space="preserve">Signing authority, renewals and the obligations you agreed to</w:t>
      </w:r>
    </w:p>
    <w:p>
      <w:pPr>
        <w:spacing w:after="180" w:before="0" w:line="276"/>
        <w:jc w:val="both"/>
      </w:pPr>
      <w:r>
        <w:rPr>
          <w:rFonts w:ascii="Calibri" w:cs="Calibri" w:eastAsia="Calibri" w:hAnsi="Calibri"/>
          <w:i/>
          <w:iCs/>
          <w:color w:val="6E7480"/>
          <w:sz w:val="21"/>
          <w:szCs w:val="21"/>
        </w:rPr>
        <w:t xml:space="preserve">Most contract losses are not disputes. They are </w:t>
      </w:r>
      <w:r>
        <w:rPr>
          <w:rFonts w:ascii="Calibri" w:cs="Calibri" w:eastAsia="Calibri" w:hAnsi="Calibri"/>
          <w:b/>
          <w:bCs/>
          <w:i/>
          <w:iCs/>
          <w:color w:val="6E7480"/>
          <w:sz w:val="21"/>
          <w:szCs w:val="21"/>
        </w:rPr>
        <w:t xml:space="preserve">auto-renewals nobody noticed</w:t>
      </w:r>
      <w:r>
        <w:rPr>
          <w:rFonts w:ascii="Calibri" w:cs="Calibri" w:eastAsia="Calibri" w:hAnsi="Calibri"/>
          <w:i/>
          <w:iCs/>
          <w:color w:val="6E7480"/>
          <w:sz w:val="21"/>
          <w:szCs w:val="21"/>
        </w:rPr>
        <w:t xml:space="preserve">, obligations nobody tracked, and agreements signed by someone without authority. The remedy is unglamorous: a register, notice dates diarised, and a rule about who may sign.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held 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[SYSTEM / LOCATION]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Signing authority per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delegated authority matrix</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governing law and forum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payment terms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review threshold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or </w:t>
            </w:r>
            <w:r>
              <w:rPr>
                <w:rFonts w:ascii="Calibri" w:cs="Calibri" w:eastAsia="Calibri" w:hAnsi="Calibri"/>
                <w:b/>
                <w:bCs/>
                <w:sz w:val="19"/>
                <w:szCs w:val="19"/>
              </w:rPr>
              <w:t xml:space="preserve">[12]</w:t>
            </w:r>
            <w:r>
              <w:rPr>
                <w:rFonts w:ascii="Calibri" w:cs="Calibri" w:eastAsia="Calibri" w:hAnsi="Calibri"/>
                <w:sz w:val="19"/>
                <w:szCs w:val="19"/>
              </w:rPr>
              <w:t xml:space="preserve"> months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MAY SIGN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3855"/>
        <w:gridCol w:w="2314"/>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Contract</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Authority</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review</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Standard terms, below AED </w:t>
            </w:r>
            <w:r>
              <w:rPr>
                <w:rFonts w:ascii="Calibri" w:cs="Calibri" w:eastAsia="Calibri" w:hAnsi="Calibri"/>
                <w:b/>
                <w:bCs/>
                <w:sz w:val="18"/>
                <w:szCs w:val="18"/>
              </w:rPr>
              <w:t xml:space="preserve">[AMOUNT]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[Manager]</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AED </w:t>
            </w:r>
            <w:r>
              <w:rPr>
                <w:rFonts w:ascii="Calibri" w:cs="Calibri" w:eastAsia="Calibri" w:hAnsi="Calibri"/>
                <w:b/>
                <w:bCs/>
                <w:sz w:val="18"/>
                <w:szCs w:val="18"/>
              </w:rPr>
              <w:t xml:space="preserve">[AMOUNT]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[Senior manager]</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term beyond </w:t>
            </w:r>
            <w:r>
              <w:rPr>
                <w:rFonts w:ascii="Calibri" w:cs="Calibri" w:eastAsia="Calibri" w:hAnsi="Calibri"/>
                <w:b/>
                <w:bCs/>
                <w:sz w:val="18"/>
                <w:szCs w:val="18"/>
              </w:rPr>
              <w:t xml:space="preserve">[12]</w:t>
            </w:r>
            <w:r>
              <w:rPr>
                <w:rFonts w:ascii="Calibri" w:cs="Calibri" w:eastAsia="Calibri" w:hAnsi="Calibri"/>
                <w:sz w:val="18"/>
                <w:szCs w:val="18"/>
              </w:rPr>
              <w:t xml:space="preserve"> months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[Senior manager]</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Anything with an unlimited liability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Guarantees or security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Related party contracts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 interested party abstaining]</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Anything creating a registrable agency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r>
              <w:rPr>
                <w:rFonts w:ascii="Calibri" w:cs="Calibri" w:eastAsia="Calibri" w:hAnsi="Calibri"/>
                <w:sz w:val="18"/>
                <w:szCs w:val="18"/>
              </w:rPr>
              <w:t xml:space="preserve"> — very hard to exit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Contracts involving personal data</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[Manager]</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DPO review</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Anything requiring notarisation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[Shareholders]</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contracts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[HR]</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template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A third party dealing in good faith may rely on apparent authority.</w:t>
      </w:r>
      <w:r>
        <w:rPr>
          <w:rFonts w:ascii="Calibri" w:cs="Calibri" w:eastAsia="Calibri" w:hAnsi="Calibri"/>
          <w:sz w:val="21"/>
          <w:szCs w:val="21"/>
        </w:rPr>
        <w:t xml:space="preserve"> An internal signing rule that is not reflected in the constitutional document or the licence may not protect the Company against a commitment made beyond it.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Which is why the rule has to be enforced internally rather than relied on externally. Someone signing outside their authority binds the Company and creates a disciplinary matter, not an escape route.</w:t>
      </w:r>
    </w:p>
    <w:p>
      <w:pPr>
        <w:keepNext/>
        <w:spacing w:after="120" w:before="280"/>
        <w:outlineLvl w:val="0"/>
      </w:pPr>
      <w:r>
        <w:rPr>
          <w:rFonts w:ascii="Calibri" w:cs="Calibri" w:eastAsia="Calibri" w:hAnsi="Calibri"/>
          <w:b/>
          <w:bCs/>
          <w:color w:val="14161B"/>
          <w:sz w:val="22"/>
          <w:szCs w:val="22"/>
        </w:rPr>
        <w:t xml:space="preserve">2. BEFORE SIGNING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Correct legal entity on both sides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Trading names are not entities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Counterparty licensed for what they are providing</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Read the activity list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Term, renewal mechanism and notice period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The most missed clause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Liability cap and its carve-outs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real negotiation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 requirements imposed on us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Can we actually meet them?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Governing law and forum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Arabic onshore; English in the zones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 there an Arabic version, and does it differ?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Arabic prevails onshore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Payment terms and any interest</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VAT treatment clear; valid tax invoice required</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IP ownership addressed where anything is created</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Personal data — processing terms and transfers</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Change of control and assignment</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Obligations we are taking on, extracted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Section 3</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Signed by someone with authority on both sides</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Check 13 is the one that is almost never done. A contract is read for what the other side must do and signed. What we agreed to do — reporting, insurance levels, minimum volumes, notice obligations — goes untracked until we breach it.</w:t>
      </w:r>
    </w:p>
    <w:p>
      <w:pPr>
        <w:keepNext/>
        <w:spacing w:after="120" w:before="280"/>
        <w:outlineLvl w:val="0"/>
      </w:pPr>
      <w:r>
        <w:rPr>
          <w:rFonts w:ascii="Calibri" w:cs="Calibri" w:eastAsia="Calibri" w:hAnsi="Calibri"/>
          <w:b/>
          <w:bCs/>
          <w:color w:val="14161B"/>
          <w:sz w:val="22"/>
          <w:szCs w:val="22"/>
        </w:rPr>
        <w:t xml:space="preserve">3. THE OBLIGATIONS REGISTER</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On signature, extract every </w:t>
      </w:r>
      <w:r>
        <w:rPr>
          <w:rFonts w:ascii="Calibri" w:cs="Calibri" w:eastAsia="Calibri" w:hAnsi="Calibri"/>
          <w:b/>
          <w:bCs/>
          <w:sz w:val="21"/>
          <w:szCs w:val="21"/>
        </w:rPr>
        <w:t xml:space="preserve">ongoing obligation the Company has taken on</w:t>
      </w:r>
      <w:r>
        <w:rPr>
          <w:rFonts w:ascii="Calibri" w:cs="Calibri" w:eastAsia="Calibri" w:hAnsi="Calibri"/>
          <w:sz w:val="21"/>
          <w:szCs w:val="21"/>
        </w:rPr>
        <w:t xml:space="preserve"> into the register with an owner and a date.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2891"/>
        <w:gridCol w:w="1349"/>
        <w:gridCol w:w="1542"/>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Obligation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Next due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[Provide monthly reports]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[Maintain PI cover of AED ______]</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[Minimum purchase of ______]</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[Notify of change of control]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event</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[Give notice by ______ to avoid renewal]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Row 2 is a common quiet breach. A contract requiring a level of insurance the Company does not actually carry is breached from signature, and it is discovered when a claim arises.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RENEWALS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Diarise the notice date, not the expiry date.</w:t>
      </w:r>
      <w:r>
        <w:rPr>
          <w:rFonts w:ascii="Calibri" w:cs="Calibri" w:eastAsia="Calibri" w:hAnsi="Calibri"/>
          <w:sz w:val="21"/>
          <w:szCs w:val="21"/>
        </w:rPr>
        <w:t xml:space="preserve"> By the expiry date the renewal has already happened.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Reminder fires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[60]</w:t>
            </w:r>
            <w:r>
              <w:rPr>
                <w:rFonts w:ascii="Calibri" w:cs="Calibri" w:eastAsia="Calibri" w:hAnsi="Calibri"/>
                <w:b/>
                <w:bCs/>
                <w:sz w:val="18"/>
                <w:szCs w:val="18"/>
              </w:rPr>
              <w:t xml:space="preserve"> days before the notice deadline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performance and whether it is still needed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Benchmark the price where material</w:t>
            </w:r>
          </w:p>
        </w:tc>
        <w:tc>
          <w:tcPr>
            <w:tcW w:type="dxa" w:w="3085"/>
            <w:tcMar>
              <w:top w:type="dxa" w:w="70"/>
              <w:left w:type="dxa" w:w="100"/>
              <w:bottom w:type="dxa" w:w="70"/>
              <w:right w:type="dxa" w:w="100"/>
            </w:tcMar>
            <w:vAlign w:val="center"/>
          </w:tcPr>
          <w:p>
            <w:pPr>
              <w:spacing w:after="0" w:line="240"/>
              <w:jc w:val="left"/>
            </w:pP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Decide: renew, renegotiate, or exit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deadline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Give notice in the required form and to the required address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Before the deadline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Obtain acknowledgement</w:t>
            </w:r>
          </w:p>
        </w:tc>
        <w:tc>
          <w:tcPr>
            <w:tcW w:type="dxa" w:w="3085"/>
            <w:tcMar>
              <w:top w:type="dxa" w:w="70"/>
              <w:left w:type="dxa" w:w="100"/>
              <w:bottom w:type="dxa" w:w="70"/>
              <w:right w:type="dxa" w:w="100"/>
            </w:tcMar>
            <w:vAlign w:val="center"/>
          </w:tcPr>
          <w:p>
            <w:pPr>
              <w:spacing w:after="0" w:line="240"/>
              <w:jc w:val="left"/>
            </w:pP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the register with the new term and next notice date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completion</w:t>
            </w: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Notice clauses often specify the form and the address. Notice given by email where the contract requires registered post is not notice, and the contract renews.</w:t>
      </w:r>
    </w:p>
    <w:p>
      <w:pPr>
        <w:keepNext/>
        <w:spacing w:after="120" w:before="280"/>
        <w:outlineLvl w:val="0"/>
      </w:pPr>
      <w:r>
        <w:rPr>
          <w:rFonts w:ascii="Calibri" w:cs="Calibri" w:eastAsia="Calibri" w:hAnsi="Calibri"/>
          <w:b/>
          <w:bCs/>
          <w:color w:val="14161B"/>
          <w:sz w:val="22"/>
          <w:szCs w:val="22"/>
        </w:rPr>
        <w:t xml:space="preserve">5. THE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734"/>
        <w:gridCol w:w="1156"/>
        <w:gridCol w:w="1060"/>
        <w:gridCol w:w="1060"/>
        <w:gridCol w:w="1060"/>
        <w:gridCol w:w="1252"/>
        <w:gridCol w:w="1060"/>
        <w:gridCol w:w="871"/>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Counterparty</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Type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Value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Start</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End</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Notice by</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Auto-renew</w:t>
            </w:r>
          </w:p>
        </w:tc>
        <w:tc>
          <w:tcPr>
            <w:tcW w:type="dxa" w:w="8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[Supply]</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8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[Services]</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8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[Lease]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8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[Licence]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8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Every contract has </w:t>
      </w:r>
      <w:r>
        <w:rPr>
          <w:rFonts w:ascii="Calibri" w:cs="Calibri" w:eastAsia="Calibri" w:hAnsi="Calibri"/>
          <w:b/>
          <w:bCs/>
          <w:sz w:val="21"/>
          <w:szCs w:val="21"/>
        </w:rPr>
        <w:t xml:space="preserve">one named owner</w:t>
      </w:r>
      <w:r>
        <w:rPr>
          <w:rFonts w:ascii="Calibri" w:cs="Calibri" w:eastAsia="Calibri" w:hAnsi="Calibri"/>
          <w:sz w:val="21"/>
          <w:szCs w:val="21"/>
        </w:rPr>
        <w:t xml:space="preserve">. Contracts owned by a department are owned by nobody, and that is how notice dates pass.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Keep the </w:t>
      </w:r>
      <w:r>
        <w:rPr>
          <w:rFonts w:ascii="Calibri" w:cs="Calibri" w:eastAsia="Calibri" w:hAnsi="Calibri"/>
          <w:b/>
          <w:bCs/>
          <w:sz w:val="21"/>
          <w:szCs w:val="21"/>
        </w:rPr>
        <w:t xml:space="preserve">signed originals</w:t>
      </w:r>
      <w:r>
        <w:rPr>
          <w:rFonts w:ascii="Calibri" w:cs="Calibri" w:eastAsia="Calibri" w:hAnsi="Calibri"/>
          <w:sz w:val="21"/>
          <w:szCs w:val="21"/>
        </w:rPr>
        <w:t xml:space="preserve">, including any Arabic version, with the register reference. A scan of an unsigned draft is not a contract.</w:t>
      </w:r>
    </w:p>
    <w:p>
      <w:pPr>
        <w:keepNext/>
        <w:spacing w:after="120" w:before="280"/>
        <w:outlineLvl w:val="0"/>
      </w:pPr>
      <w:r>
        <w:rPr>
          <w:rFonts w:ascii="Calibri" w:cs="Calibri" w:eastAsia="Calibri" w:hAnsi="Calibri"/>
          <w:b/>
          <w:bCs/>
          <w:color w:val="14161B"/>
          <w:sz w:val="22"/>
          <w:szCs w:val="22"/>
        </w:rPr>
        <w:t xml:space="preserve">6. ANNUAL REVIEW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590"/>
        <w:gridCol w:w="356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5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contracts renew in the next 12 months?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notice deadlines fall in the next 90 days?</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we meeting our own obligations in each?</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our insurance meet every level we have promised?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contract signed without authority?</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counterparty whose licence has lapsed?</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related party contract not re-tested against market?</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contract with unlimited liability?</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concentration on a single customer or supplier?</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contract we cannot find the signed original of?</w:t>
            </w:r>
          </w:p>
        </w:tc>
        <w:tc>
          <w:tcPr>
            <w:tcW w:type="dxa" w:w="35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Most contract losses are administrative, not adversarial</w:t>
      </w:r>
    </w:p>
    <w:p>
      <w:pPr>
        <w:spacing w:after="60" w:line="264"/>
        <w:jc w:val="both"/>
      </w:pPr>
      <w:r>
        <w:rPr>
          <w:rFonts w:ascii="Calibri" w:cs="Calibri" w:eastAsia="Calibri" w:hAnsi="Calibri"/>
          <w:sz w:val="19"/>
          <w:szCs w:val="19"/>
        </w:rPr>
        <w:t xml:space="preserve">Auto-renewals nobody noticed, obligations nobody tracked, agreements signed without authority. A register with owners and notice dates prevents more loss than any drafting improvement.</w:t>
      </w:r>
    </w:p>
    <w:p>
      <w:pPr>
        <w:keepNext/>
        <w:spacing w:after="40" w:before="140"/>
      </w:pPr>
      <w:r>
        <w:rPr>
          <w:rFonts w:ascii="Calibri" w:cs="Calibri" w:eastAsia="Calibri" w:hAnsi="Calibri"/>
          <w:b/>
          <w:bCs/>
          <w:color w:val="14161B"/>
          <w:sz w:val="20"/>
          <w:szCs w:val="20"/>
        </w:rPr>
        <w:t xml:space="preserve">Diarise the notice date, not the expiry</w:t>
      </w:r>
    </w:p>
    <w:p>
      <w:pPr>
        <w:spacing w:after="60" w:line="264"/>
        <w:jc w:val="both"/>
      </w:pPr>
      <w:r>
        <w:rPr>
          <w:rFonts w:ascii="Calibri" w:cs="Calibri" w:eastAsia="Calibri" w:hAnsi="Calibri"/>
          <w:sz w:val="19"/>
          <w:szCs w:val="19"/>
        </w:rPr>
        <w:t xml:space="preserve">By the expiry date the renewal has already happened. The reminder should fire well before the last date to give notice, with time to review and decide.</w:t>
      </w:r>
    </w:p>
    <w:p>
      <w:pPr>
        <w:keepNext/>
        <w:spacing w:after="40" w:before="140"/>
      </w:pPr>
      <w:r>
        <w:rPr>
          <w:rFonts w:ascii="Calibri" w:cs="Calibri" w:eastAsia="Calibri" w:hAnsi="Calibri"/>
          <w:b/>
          <w:bCs/>
          <w:color w:val="14161B"/>
          <w:sz w:val="20"/>
          <w:szCs w:val="20"/>
        </w:rPr>
        <w:t xml:space="preserve">Check the form and address for notice</w:t>
      </w:r>
    </w:p>
    <w:p>
      <w:pPr>
        <w:spacing w:after="60" w:line="264"/>
        <w:jc w:val="both"/>
      </w:pPr>
      <w:r>
        <w:rPr>
          <w:rFonts w:ascii="Calibri" w:cs="Calibri" w:eastAsia="Calibri" w:hAnsi="Calibri"/>
          <w:sz w:val="19"/>
          <w:szCs w:val="19"/>
        </w:rPr>
        <w:t xml:space="preserve">Notice clauses often specify both. Notice by email where the contract requires registered post to a named address is not notice, and the contract renews — a wholly avoidable and expensive technicality.</w:t>
      </w:r>
    </w:p>
    <w:p>
      <w:pPr>
        <w:keepNext/>
        <w:spacing w:after="40" w:before="140"/>
      </w:pPr>
      <w:r>
        <w:rPr>
          <w:rFonts w:ascii="Calibri" w:cs="Calibri" w:eastAsia="Calibri" w:hAnsi="Calibri"/>
          <w:b/>
          <w:bCs/>
          <w:color w:val="14161B"/>
          <w:sz w:val="20"/>
          <w:szCs w:val="20"/>
        </w:rPr>
        <w:t xml:space="preserve">Extract your own obligations at signature</w:t>
      </w:r>
    </w:p>
    <w:p>
      <w:pPr>
        <w:spacing w:after="60" w:line="264"/>
        <w:jc w:val="both"/>
      </w:pPr>
      <w:r>
        <w:rPr>
          <w:rFonts w:ascii="Calibri" w:cs="Calibri" w:eastAsia="Calibri" w:hAnsi="Calibri"/>
          <w:sz w:val="19"/>
          <w:szCs w:val="19"/>
        </w:rPr>
        <w:t xml:space="preserve">Contracts are read for what the other side must do and then filed. Reporting duties, insurance levels, minimum volumes and notification obligations go untracked until they are breached. Extract them into a register with owners.</w:t>
      </w:r>
    </w:p>
    <w:p>
      <w:pPr>
        <w:keepNext/>
        <w:spacing w:after="40" w:before="140"/>
      </w:pPr>
      <w:r>
        <w:rPr>
          <w:rFonts w:ascii="Calibri" w:cs="Calibri" w:eastAsia="Calibri" w:hAnsi="Calibri"/>
          <w:b/>
          <w:bCs/>
          <w:color w:val="14161B"/>
          <w:sz w:val="20"/>
          <w:szCs w:val="20"/>
        </w:rPr>
        <w:t xml:space="preserve">Check you actually carry the insurance you promised</w:t>
      </w:r>
    </w:p>
    <w:p>
      <w:pPr>
        <w:spacing w:after="60" w:line="264"/>
        <w:jc w:val="both"/>
      </w:pPr>
      <w:r>
        <w:rPr>
          <w:rFonts w:ascii="Calibri" w:cs="Calibri" w:eastAsia="Calibri" w:hAnsi="Calibri"/>
          <w:sz w:val="19"/>
          <w:szCs w:val="19"/>
        </w:rPr>
        <w:t xml:space="preserve">A contract requiring cover the Company does not hold is breached from signature and discovered when a claim arises. This is among the most common quiet breaches and the easiest to check.</w:t>
      </w:r>
    </w:p>
    <w:p>
      <w:pPr>
        <w:keepNext/>
        <w:spacing w:after="40" w:before="140"/>
      </w:pPr>
      <w:r>
        <w:rPr>
          <w:rFonts w:ascii="Calibri" w:cs="Calibri" w:eastAsia="Calibri" w:hAnsi="Calibri"/>
          <w:b/>
          <w:bCs/>
          <w:color w:val="14161B"/>
          <w:sz w:val="20"/>
          <w:szCs w:val="20"/>
        </w:rPr>
        <w:t xml:space="preserve">One named owner per contract</w:t>
      </w:r>
    </w:p>
    <w:p>
      <w:pPr>
        <w:spacing w:after="60" w:line="264"/>
        <w:jc w:val="both"/>
      </w:pPr>
      <w:r>
        <w:rPr>
          <w:rFonts w:ascii="Calibri" w:cs="Calibri" w:eastAsia="Calibri" w:hAnsi="Calibri"/>
          <w:sz w:val="19"/>
          <w:szCs w:val="19"/>
        </w:rPr>
        <w:t xml:space="preserve">Contracts owned by a department are owned by nobody. Named ownership is what makes notice dates, obligations and renewals someone’s actual responsibility.</w:t>
      </w:r>
    </w:p>
    <w:p>
      <w:pPr>
        <w:keepNext/>
        <w:spacing w:after="40" w:before="140"/>
      </w:pPr>
      <w:r>
        <w:rPr>
          <w:rFonts w:ascii="Calibri" w:cs="Calibri" w:eastAsia="Calibri" w:hAnsi="Calibri"/>
          <w:b/>
          <w:bCs/>
          <w:color w:val="14161B"/>
          <w:sz w:val="20"/>
          <w:szCs w:val="20"/>
        </w:rPr>
        <w:t xml:space="preserve">Name the correct legal entity on both sides</w:t>
      </w:r>
    </w:p>
    <w:p>
      <w:pPr>
        <w:spacing w:after="60" w:line="264"/>
        <w:jc w:val="both"/>
      </w:pPr>
      <w:r>
        <w:rPr>
          <w:rFonts w:ascii="Calibri" w:cs="Calibri" w:eastAsia="Calibri" w:hAnsi="Calibri"/>
          <w:sz w:val="19"/>
          <w:szCs w:val="19"/>
        </w:rPr>
        <w:t xml:space="preserve">Trading names are not entities and group affiliates are not interchangeable. Take the details from the current trade licence — a contract with the wrong entity is difficult to enforce and awkward to fix.</w:t>
      </w:r>
    </w:p>
    <w:p>
      <w:pPr>
        <w:keepNext/>
        <w:spacing w:after="40" w:before="140"/>
      </w:pPr>
      <w:r>
        <w:rPr>
          <w:rFonts w:ascii="Calibri" w:cs="Calibri" w:eastAsia="Calibri" w:hAnsi="Calibri"/>
          <w:b/>
          <w:bCs/>
          <w:color w:val="14161B"/>
          <w:sz w:val="20"/>
          <w:szCs w:val="20"/>
        </w:rPr>
        <w:t xml:space="preserve">Check the counterparty is licensed for what they provide</w:t>
      </w:r>
    </w:p>
    <w:p>
      <w:pPr>
        <w:spacing w:after="60" w:line="264"/>
        <w:jc w:val="both"/>
      </w:pPr>
      <w:r>
        <w:rPr>
          <w:rFonts w:ascii="Calibri" w:cs="Calibri" w:eastAsia="Calibri" w:hAnsi="Calibri"/>
          <w:sz w:val="19"/>
          <w:szCs w:val="19"/>
        </w:rPr>
        <w:t xml:space="preserve">A UAE company may only carry on its licensed activities. A supplier operating outside them creates problems for both sides, and the licence takes a minute to read.</w:t>
      </w:r>
    </w:p>
    <w:p>
      <w:pPr>
        <w:keepNext/>
        <w:spacing w:after="40" w:before="140"/>
      </w:pPr>
      <w:r>
        <w:rPr>
          <w:rFonts w:ascii="Calibri" w:cs="Calibri" w:eastAsia="Calibri" w:hAnsi="Calibri"/>
          <w:b/>
          <w:bCs/>
          <w:color w:val="14161B"/>
          <w:sz w:val="20"/>
          <w:szCs w:val="20"/>
        </w:rPr>
        <w:t xml:space="preserve">Read the Arabic version</w:t>
      </w:r>
    </w:p>
    <w:p>
      <w:pPr>
        <w:spacing w:after="60" w:line="264"/>
        <w:jc w:val="both"/>
      </w:pPr>
      <w:r>
        <w:rPr>
          <w:rFonts w:ascii="Calibri" w:cs="Calibri" w:eastAsia="Calibri" w:hAnsi="Calibri"/>
          <w:sz w:val="19"/>
          <w:szCs w:val="19"/>
        </w:rPr>
        <w:t xml:space="preserve">Where a bilingual contract is governed by onshore law, the Arabic prevails. A party relying on the English may be relying on terms that differ. Have it read before signing, not during a dispute.</w:t>
      </w:r>
    </w:p>
    <w:p>
      <w:pPr>
        <w:keepNext/>
        <w:spacing w:after="40" w:before="140"/>
      </w:pPr>
      <w:r>
        <w:rPr>
          <w:rFonts w:ascii="Calibri" w:cs="Calibri" w:eastAsia="Calibri" w:hAnsi="Calibri"/>
          <w:b/>
          <w:bCs/>
          <w:color w:val="14161B"/>
          <w:sz w:val="20"/>
          <w:szCs w:val="20"/>
        </w:rPr>
        <w:t xml:space="preserve">Internal signing rules do not bind third parties</w:t>
      </w:r>
    </w:p>
    <w:p>
      <w:pPr>
        <w:spacing w:after="60" w:line="264"/>
        <w:jc w:val="both"/>
      </w:pPr>
      <w:r>
        <w:rPr>
          <w:rFonts w:ascii="Calibri" w:cs="Calibri" w:eastAsia="Calibri" w:hAnsi="Calibri"/>
          <w:sz w:val="19"/>
          <w:szCs w:val="19"/>
        </w:rPr>
        <w:t xml:space="preserve">A person signing beyond their authority may still bind the Company where the third party acted in good faith. The rule protects the Company internally and is a disciplinary matter when broken — not an escape route from the contract.</w:t>
      </w:r>
    </w:p>
    <w:p>
      <w:pPr>
        <w:keepNext/>
        <w:spacing w:after="40" w:before="140"/>
      </w:pPr>
      <w:r>
        <w:rPr>
          <w:rFonts w:ascii="Calibri" w:cs="Calibri" w:eastAsia="Calibri" w:hAnsi="Calibri"/>
          <w:b/>
          <w:bCs/>
          <w:color w:val="14161B"/>
          <w:sz w:val="20"/>
          <w:szCs w:val="20"/>
        </w:rPr>
        <w:t xml:space="preserve">Flag anything creating a registrable agency</w:t>
      </w:r>
    </w:p>
    <w:p>
      <w:pPr>
        <w:spacing w:after="60" w:line="264"/>
        <w:jc w:val="both"/>
      </w:pPr>
      <w:r>
        <w:rPr>
          <w:rFonts w:ascii="Calibri" w:cs="Calibri" w:eastAsia="Calibri" w:hAnsi="Calibri"/>
          <w:sz w:val="19"/>
          <w:szCs w:val="19"/>
        </w:rPr>
        <w:t xml:space="preserve">A commercial agency registration gives the counterparty statutory protections that are very difficult to exit. It belongs at the highest approval level and needs legal review before signature.</w:t>
      </w:r>
    </w:p>
    <w:p>
      <w:pPr>
        <w:keepNext/>
        <w:spacing w:after="40" w:before="140"/>
      </w:pPr>
      <w:r>
        <w:rPr>
          <w:rFonts w:ascii="Calibri" w:cs="Calibri" w:eastAsia="Calibri" w:hAnsi="Calibri"/>
          <w:b/>
          <w:bCs/>
          <w:color w:val="14161B"/>
          <w:sz w:val="20"/>
          <w:szCs w:val="20"/>
        </w:rPr>
        <w:t xml:space="preserve">Re-test related party contracts annually</w:t>
      </w:r>
    </w:p>
    <w:p>
      <w:pPr>
        <w:spacing w:after="60" w:line="264"/>
        <w:jc w:val="both"/>
      </w:pPr>
      <w:r>
        <w:rPr>
          <w:rFonts w:ascii="Calibri" w:cs="Calibri" w:eastAsia="Calibri" w:hAnsi="Calibri"/>
          <w:sz w:val="19"/>
          <w:szCs w:val="19"/>
        </w:rPr>
        <w:t xml:space="preserve">Terms that were market at the outset drift, and transfer pricing requires them to remain arm’s length with documentation. An annual comparison is far easier than reconstructing a justification later.</w:t>
      </w:r>
    </w:p>
    <w:p>
      <w:pPr>
        <w:keepNext/>
        <w:spacing w:after="40" w:before="140"/>
      </w:pPr>
      <w:r>
        <w:rPr>
          <w:rFonts w:ascii="Calibri" w:cs="Calibri" w:eastAsia="Calibri" w:hAnsi="Calibri"/>
          <w:b/>
          <w:bCs/>
          <w:color w:val="14161B"/>
          <w:sz w:val="20"/>
          <w:szCs w:val="20"/>
        </w:rPr>
        <w:t xml:space="preserve">Keep the signed originals</w:t>
      </w:r>
    </w:p>
    <w:p>
      <w:pPr>
        <w:spacing w:after="60" w:line="264"/>
        <w:jc w:val="both"/>
      </w:pPr>
      <w:r>
        <w:rPr>
          <w:rFonts w:ascii="Calibri" w:cs="Calibri" w:eastAsia="Calibri" w:hAnsi="Calibri"/>
          <w:sz w:val="19"/>
          <w:szCs w:val="19"/>
        </w:rPr>
        <w:t xml:space="preserve">Including any Arabic version and any variation. A scan of an unsigned draft is not a contract, and question 10 of the annual review exists because this gap is more common than anyone expects.</w:t>
      </w:r>
    </w:p>
    <w:p>
      <w:pPr>
        <w:keepNext/>
        <w:spacing w:after="40" w:before="140"/>
      </w:pPr>
      <w:r>
        <w:rPr>
          <w:rFonts w:ascii="Calibri" w:cs="Calibri" w:eastAsia="Calibri" w:hAnsi="Calibri"/>
          <w:b/>
          <w:bCs/>
          <w:color w:val="14161B"/>
          <w:sz w:val="20"/>
          <w:szCs w:val="20"/>
        </w:rPr>
        <w:t xml:space="preserve">Review concentration, not just individual contracts</w:t>
      </w:r>
    </w:p>
    <w:p>
      <w:pPr>
        <w:spacing w:after="60" w:line="264"/>
        <w:jc w:val="both"/>
      </w:pPr>
      <w:r>
        <w:rPr>
          <w:rFonts w:ascii="Calibri" w:cs="Calibri" w:eastAsia="Calibri" w:hAnsi="Calibri"/>
          <w:sz w:val="19"/>
          <w:szCs w:val="19"/>
        </w:rPr>
        <w:t xml:space="preserve">A register makes visible what individual contract reviews cannot — that one customer represents most of the revenue, or one supplier is unreplaceable. That is a business risk found only by looking across the whole set.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Commercial agency rules, notarisation requirements, VAT invoicing, data protection regimes and court jurisdiction all change — take UAE legal advice on material contracts and before signing anything that could be registrable as an agency.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2026-08-23T16:28:33.596Z</dcterms:created>
  <dcterms:modified xsi:type="dcterms:W3CDTF">2026-08-23T16:28:33.596Z</dcterms:modified>
</cp:coreProperties>
</file>

<file path=docProps/custom.xml><?xml version="1.0" encoding="utf-8"?>
<Properties xmlns="http://schemas.openxmlformats.org/officeDocument/2006/custom-properties" xmlns:vt="http://schemas.openxmlformats.org/officeDocument/2006/docPropsVTypes"/>
</file>