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MAINLAND COMPANY FORMATION</w:t>
      </w:r>
    </w:p>
    <w:p>
      <w:pPr>
        <w:spacing w:after="260"/>
        <w:jc w:val="center"/>
      </w:pPr>
      <w:r>
        <w:rPr>
          <w:rFonts w:ascii="Calibri" w:cs="Calibri" w:eastAsia="Calibri" w:hAnsi="Calibri"/>
          <w:i/>
          <w:iCs/>
          <w:color w:val="6E7480"/>
          <w:sz w:val="19"/>
          <w:szCs w:val="19"/>
        </w:rPr>
        <w:t xml:space="preserve">Incorporating an LLC with the Department of Economic Development</w:t>
      </w:r>
    </w:p>
    <w:p>
      <w:pPr>
        <w:spacing w:after="180" w:before="0" w:line="276"/>
        <w:jc w:val="both"/>
      </w:pPr>
      <w:r>
        <w:rPr>
          <w:rFonts w:ascii="Calibri" w:cs="Calibri" w:eastAsia="Calibri" w:hAnsi="Calibri"/>
          <w:i/>
          <w:iCs/>
          <w:color w:val="6E7480"/>
          <w:sz w:val="21"/>
          <w:szCs w:val="21"/>
        </w:rPr>
        <w:t xml:space="preserve">Two things determine how smoothly this goes: whether the licensed </w:t>
      </w:r>
      <w:r>
        <w:rPr>
          <w:rFonts w:ascii="Calibri" w:cs="Calibri" w:eastAsia="Calibri" w:hAnsi="Calibri"/>
          <w:b/>
          <w:bCs/>
          <w:i/>
          <w:iCs/>
          <w:color w:val="6E7480"/>
          <w:sz w:val="21"/>
          <w:szCs w:val="21"/>
        </w:rPr>
        <w:t xml:space="preserve">activity</w:t>
      </w:r>
      <w:r>
        <w:rPr>
          <w:rFonts w:ascii="Calibri" w:cs="Calibri" w:eastAsia="Calibri" w:hAnsi="Calibri"/>
          <w:i/>
          <w:iCs/>
          <w:color w:val="6E7480"/>
          <w:sz w:val="21"/>
          <w:szCs w:val="21"/>
        </w:rPr>
        <w:t xml:space="preserve"> matches what the business will actually do, and whether the </w:t>
      </w:r>
      <w:r>
        <w:rPr>
          <w:rFonts w:ascii="Calibri" w:cs="Calibri" w:eastAsia="Calibri" w:hAnsi="Calibri"/>
          <w:b/>
          <w:bCs/>
          <w:i/>
          <w:iCs/>
          <w:color w:val="6E7480"/>
          <w:sz w:val="21"/>
          <w:szCs w:val="21"/>
        </w:rPr>
        <w:t xml:space="preserve">office space</w:t>
      </w:r>
      <w:r>
        <w:rPr>
          <w:rFonts w:ascii="Calibri" w:cs="Calibri" w:eastAsia="Calibri" w:hAnsi="Calibri"/>
          <w:i/>
          <w:iCs/>
          <w:color w:val="6E7480"/>
          <w:sz w:val="21"/>
          <w:szCs w:val="21"/>
        </w:rPr>
        <w:t xml:space="preserve"> supports the visa quota you need. Both are fixed at licensing and awkward to change afterwards. Everything else is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name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b/>
                <w:bCs/>
                <w:sz w:val="19"/>
                <w:szCs w:val="19"/>
              </w:rPr>
              <w:t xml:space="preserve"> L.L.C.</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Emirate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[Dubai / Abu Dhabi / Sharjah / other]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Licensing authority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[DED / DET / relevant department]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Legal form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[Limited Liability Company / Sole Establishment / Civil Company]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Licensed activities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 — must match actual operations]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Activity on the strategic-impact list?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confirm before assuming full foreign ownership]</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Shareholders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NATIONALITIES, PERCENTAGES]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named on the licence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 capital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Office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[Ejari-registered premises / business centre]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Visa quota sought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Licence issued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  Number: </w:t>
            </w:r>
            <w:r>
              <w:rPr>
                <w:rFonts w:ascii="Calibri" w:cs="Calibri" w:eastAsia="Calibri" w:hAnsi="Calibri"/>
                <w:b/>
                <w:bCs/>
                <w:sz w:val="19"/>
                <w:szCs w:val="19"/>
              </w:rPr>
              <w:t xml:space="preserve">[NUMBER]</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YOU APPLY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505"/>
        <w:gridCol w:w="6748"/>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67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Jurisdiction confirmed as mainland</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See the jurisdiction guide — free zone may suit better if revenue is largely non-UAE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Activity list</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licence activity governs what you may lawfully do, which visa job titles are approved, and whether a regulator approval is needed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Foreign ownership position</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100% is available for most activities; strategic-impact activities remain restricted by Cabinet decision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Legal form</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LLC is the default for commercial activity; professional activities may take a civil company form</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Emirate</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emirate licenses separately; rules, costs and office requirements differ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Trade name</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comply with naming rules — no religious or governmental references, no offensive terms; using a personal name requires it to be the full name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capital</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general minimum for most LLC activities, but it must be adequate for the business and some activities prescribe an amount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Office space</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Physical premises with an Ejari or equivalent tenancy registration; </w:t>
            </w:r>
            <w:r>
              <w:rPr>
                <w:rFonts w:ascii="Calibri" w:cs="Calibri" w:eastAsia="Calibri" w:hAnsi="Calibri"/>
                <w:b/>
                <w:bCs/>
                <w:sz w:val="17"/>
                <w:szCs w:val="17"/>
              </w:rPr>
              <w:t xml:space="preserve">visa quota is linked to space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Manager</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Named on the licence, with powers set in the constitutional documents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External approvals</w:t>
            </w:r>
          </w:p>
        </w:tc>
        <w:tc>
          <w:tcPr>
            <w:tcW w:type="dxa" w:w="674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education, transport, financial and many other activities need a sector approval before licensing</w:t>
            </w:r>
          </w:p>
        </w:tc>
      </w:tr>
    </w:tbl>
    <w:p>
      <w:pPr>
        <w:spacing w:after="160"/>
      </w:pPr>
    </w:p>
    <w:p>
      <w:pPr>
        <w:keepNext/>
        <w:spacing w:after="120" w:before="280"/>
        <w:outlineLvl w:val="0"/>
      </w:pPr>
      <w:r>
        <w:rPr>
          <w:rFonts w:ascii="Calibri" w:cs="Calibri" w:eastAsia="Calibri" w:hAnsi="Calibri"/>
          <w:b/>
          <w:bCs/>
          <w:color w:val="14161B"/>
          <w:sz w:val="22"/>
          <w:szCs w:val="22"/>
        </w:rPr>
        <w:t xml:space="preserve">2.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698"/>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Output</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Reserve the trade name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reservation certificate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Obtain initial approval for the activity and shareholders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Initial approval certificate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Obtain external approvals where the activity requires them</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Regulator no-objection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Draft and </w:t>
            </w:r>
            <w:r>
              <w:rPr>
                <w:rFonts w:ascii="Calibri" w:cs="Calibri" w:eastAsia="Calibri" w:hAnsi="Calibri"/>
                <w:b/>
                <w:bCs/>
                <w:sz w:val="17"/>
                <w:szCs w:val="17"/>
              </w:rPr>
              <w:t xml:space="preserve">notarise the Memorandum of Association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Notarised MOA</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Sign the tenancy contract and register it (Ejari or equivalent)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Registered tenancy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Submit for licence issuance and pay fees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Trade licence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with the Chamber of Commerce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Chamber membership</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Obtain the </w:t>
            </w:r>
            <w:r>
              <w:rPr>
                <w:rFonts w:ascii="Calibri" w:cs="Calibri" w:eastAsia="Calibri" w:hAnsi="Calibri"/>
                <w:b/>
                <w:bCs/>
                <w:sz w:val="17"/>
                <w:szCs w:val="17"/>
              </w:rPr>
              <w:t xml:space="preserve">establishment card</w:t>
            </w:r>
            <w:r>
              <w:rPr>
                <w:rFonts w:ascii="Calibri" w:cs="Calibri" w:eastAsia="Calibri" w:hAnsi="Calibri"/>
                <w:sz w:val="17"/>
                <w:szCs w:val="17"/>
              </w:rPr>
              <w:t xml:space="preserve"> (immigration file)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Establishment card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Open the </w:t>
            </w:r>
            <w:r>
              <w:rPr>
                <w:rFonts w:ascii="Calibri" w:cs="Calibri" w:eastAsia="Calibri" w:hAnsi="Calibri"/>
                <w:b/>
                <w:bCs/>
                <w:sz w:val="17"/>
                <w:szCs w:val="17"/>
              </w:rPr>
              <w:t xml:space="preserve">MOHRE establishment file</w:t>
            </w:r>
            <w:r>
              <w:rPr>
                <w:rFonts w:ascii="Calibri" w:cs="Calibri" w:eastAsia="Calibri" w:hAnsi="Calibri"/>
                <w:sz w:val="17"/>
                <w:szCs w:val="17"/>
              </w:rPr>
              <w:t xml:space="preserve"> — provides the work permit quota</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MOHRE file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Open the corporate </w:t>
            </w:r>
            <w:r>
              <w:rPr>
                <w:rFonts w:ascii="Calibri" w:cs="Calibri" w:eastAsia="Calibri" w:hAnsi="Calibri"/>
                <w:b/>
                <w:bCs/>
                <w:sz w:val="17"/>
                <w:szCs w:val="17"/>
              </w:rPr>
              <w:t xml:space="preserve">bank account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 and IBAN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for </w:t>
            </w:r>
            <w:r>
              <w:rPr>
                <w:rFonts w:ascii="Calibri" w:cs="Calibri" w:eastAsia="Calibri" w:hAnsi="Calibri"/>
                <w:b/>
                <w:bCs/>
                <w:sz w:val="17"/>
                <w:szCs w:val="17"/>
              </w:rPr>
              <w:t xml:space="preserve">corporate tax</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Tax registration number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for </w:t>
            </w:r>
            <w:r>
              <w:rPr>
                <w:rFonts w:ascii="Calibri" w:cs="Calibri" w:eastAsia="Calibri" w:hAnsi="Calibri"/>
                <w:b/>
                <w:bCs/>
                <w:sz w:val="17"/>
                <w:szCs w:val="17"/>
              </w:rPr>
              <w:t xml:space="preserve">VAT</w:t>
            </w:r>
            <w:r>
              <w:rPr>
                <w:rFonts w:ascii="Calibri" w:cs="Calibri" w:eastAsia="Calibri" w:hAnsi="Calibri"/>
                <w:sz w:val="17"/>
                <w:szCs w:val="17"/>
              </w:rPr>
              <w:t xml:space="preserve"> where the threshold is met or voluntary registration is chosen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w:t>
            </w:r>
            <w:r>
              <w:rPr>
                <w:rFonts w:ascii="Calibri" w:cs="Calibri" w:eastAsia="Calibri" w:hAnsi="Calibri"/>
                <w:b/>
                <w:bCs/>
                <w:sz w:val="17"/>
                <w:szCs w:val="17"/>
              </w:rPr>
              <w:t xml:space="preserve">UBO</w:t>
            </w:r>
            <w:r>
              <w:rPr>
                <w:rFonts w:ascii="Calibri" w:cs="Calibri" w:eastAsia="Calibri" w:hAnsi="Calibri"/>
                <w:sz w:val="17"/>
                <w:szCs w:val="17"/>
              </w:rPr>
              <w:t xml:space="preserve"> information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UBO register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for </w:t>
            </w:r>
            <w:r>
              <w:rPr>
                <w:rFonts w:ascii="Calibri" w:cs="Calibri" w:eastAsia="Calibri" w:hAnsi="Calibri"/>
                <w:b/>
                <w:bCs/>
                <w:sz w:val="17"/>
                <w:szCs w:val="17"/>
              </w:rPr>
              <w:t xml:space="preserve">WPS</w:t>
            </w:r>
            <w:r>
              <w:rPr>
                <w:rFonts w:ascii="Calibri" w:cs="Calibri" w:eastAsia="Calibri" w:hAnsi="Calibri"/>
                <w:sz w:val="17"/>
                <w:szCs w:val="17"/>
              </w:rPr>
              <w:t xml:space="preserve"> through the bank</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WPS setup</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Apply for visa quota and begin work permits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Quota approval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The bank account is usually the slowest step and it is on the critical path — WPS runs through it, and without WPS you cannot pay staff compliantly. Start it as soon as the licence issues, and expect enhanced due diligence on the shareholders and the source of funds.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DOCUMENTS REQUIRED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3276"/>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For</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Held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Passport copies of all shareholders and the manager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Emirates ID and visa copies where resident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Resident parties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Entry stamp or visit visa copy where non-resident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Non-resident parties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No-objection certificate from a current sponsor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[Where a shareholder is employed in the UAE]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 resolution and certificate of incorporation, </w:t>
            </w:r>
            <w:r>
              <w:rPr>
                <w:rFonts w:ascii="Calibri" w:cs="Calibri" w:eastAsia="Calibri" w:hAnsi="Calibri"/>
                <w:b/>
                <w:bCs/>
                <w:sz w:val="17"/>
                <w:szCs w:val="17"/>
              </w:rPr>
              <w:t xml:space="preserve">attested and legalised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Corporate shareholders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Power of attorney, notarised and attested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signing by proxy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Passport-size photographs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Proposed trade names — three options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Tenancy contract and registration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Premises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Ejari or equivalent certificate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Premises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External approval documents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Regulated activities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Qualification certificates, attested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[Professional activities]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Documents issued outside the UAE generally require attestation in the country of issue and legalisation through the UAE embassy, then the Ministry of Foreign Affairs. This takes weeks and is the most common cause of delay for corporate shareholders. Start it before anything else.</w:t>
      </w:r>
    </w:p>
    <w:p>
      <w:pPr>
        <w:keepNext/>
        <w:spacing w:after="120" w:before="280"/>
        <w:outlineLvl w:val="0"/>
      </w:pPr>
      <w:r>
        <w:rPr>
          <w:rFonts w:ascii="Calibri" w:cs="Calibri" w:eastAsia="Calibri" w:hAnsi="Calibri"/>
          <w:b/>
          <w:bCs/>
          <w:color w:val="14161B"/>
          <w:sz w:val="22"/>
          <w:szCs w:val="22"/>
        </w:rPr>
        <w:t xml:space="preserve">4. FIRST NINETY DAYS AFTER LICENSING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698"/>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Task</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Deadline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Establishment card and MOHRE file opened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account opened and WPS configured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first payroll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Corporate tax registration</w:t>
            </w:r>
            <w:r>
              <w:rPr>
                <w:rFonts w:ascii="Calibri" w:cs="Calibri" w:eastAsia="Calibri" w:hAnsi="Calibri"/>
                <w:sz w:val="17"/>
                <w:szCs w:val="17"/>
              </w:rPr>
              <w:t xml:space="preserve"> completed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period required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VAT position assessed against the registration threshold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UBO register</w:t>
            </w:r>
            <w:r>
              <w:rPr>
                <w:rFonts w:ascii="Calibri" w:cs="Calibri" w:eastAsia="Calibri" w:hAnsi="Calibri"/>
                <w:sz w:val="17"/>
                <w:szCs w:val="17"/>
              </w:rPr>
              <w:t xml:space="preserve"> established and filed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prescribed period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AML risk assessment where the activity is a designated business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operating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Accounting records and chart of accounts established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Employment documents prepared — offer, MOHRE contract, handbook</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first hire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insurance arranged for employees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visas issue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Emiratisation position assessed</w:t>
            </w:r>
            <w:r>
              <w:rPr>
                <w:rFonts w:ascii="Calibri" w:cs="Calibri" w:eastAsia="Calibri" w:hAnsi="Calibri"/>
                <w:sz w:val="17"/>
                <w:szCs w:val="17"/>
              </w:rPr>
              <w:t xml:space="preserve"> against headcount plans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Data protection policy adopted and privacy notices issued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and card renewal dates diarised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Corporate records file opened — MOA, licence, resolutions, registers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5. RECURRING OBLIGATIONS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397"/>
        <w:gridCol w:w="4241"/>
      </w:tblGrid>
      <w:tr>
        <w:trPr>
          <w:cantSplit/>
          <w:tblHeader/>
        </w:trPr>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42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licence renewal</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Establishment card and immigration file renewal</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validity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Tenancy renewal and Ejari re-registration</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tax return</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 within the period after the tax period ends</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VAT returns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[Quarterly or monthly, per the FTA]</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UBO register kept current</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change</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WPS salary transfers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Emiratisation quota compliance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 assessed at set dates</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visa and work permit renewals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validity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Health insurance renewal</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Accounting records retained</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Seven years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Get the activity list right at the start</w:t>
      </w:r>
    </w:p>
    <w:p>
      <w:pPr>
        <w:spacing w:after="60" w:line="264"/>
        <w:jc w:val="both"/>
      </w:pPr>
      <w:r>
        <w:rPr>
          <w:rFonts w:ascii="Calibri" w:cs="Calibri" w:eastAsia="Calibri" w:hAnsi="Calibri"/>
          <w:sz w:val="19"/>
          <w:szCs w:val="19"/>
        </w:rPr>
        <w:t xml:space="preserve">The licensed activity determines what the company may lawfully do, which job titles will be approved for work permits, whether a sector regulator must approve the business, and in some cases the corporate tax analysis. Amending it later is possible but slower than getting it right, and companies typically discover the mismatch at the first visa refusal.</w:t>
      </w:r>
    </w:p>
    <w:p>
      <w:pPr>
        <w:keepNext/>
        <w:spacing w:after="40" w:before="140"/>
      </w:pPr>
      <w:r>
        <w:rPr>
          <w:rFonts w:ascii="Calibri" w:cs="Calibri" w:eastAsia="Calibri" w:hAnsi="Calibri"/>
          <w:b/>
          <w:bCs/>
          <w:color w:val="14161B"/>
          <w:sz w:val="20"/>
          <w:szCs w:val="20"/>
        </w:rPr>
        <w:t xml:space="preserve">Office space drives the visa quota</w:t>
      </w:r>
    </w:p>
    <w:p>
      <w:pPr>
        <w:spacing w:after="60" w:line="264"/>
        <w:jc w:val="both"/>
      </w:pPr>
      <w:r>
        <w:rPr>
          <w:rFonts w:ascii="Calibri" w:cs="Calibri" w:eastAsia="Calibri" w:hAnsi="Calibri"/>
          <w:sz w:val="19"/>
          <w:szCs w:val="19"/>
        </w:rPr>
        <w:t xml:space="preserve">Mainland visa quotas are linked to the size and type of premises. A company that takes minimal space to reduce cost and then needs ten visas will find the quota unavailable. Model the headcount before signing the tenancy, not after.</w:t>
      </w:r>
    </w:p>
    <w:p>
      <w:pPr>
        <w:keepNext/>
        <w:spacing w:after="40" w:before="140"/>
      </w:pPr>
      <w:r>
        <w:rPr>
          <w:rFonts w:ascii="Calibri" w:cs="Calibri" w:eastAsia="Calibri" w:hAnsi="Calibri"/>
          <w:b/>
          <w:bCs/>
          <w:color w:val="14161B"/>
          <w:sz w:val="20"/>
          <w:szCs w:val="20"/>
        </w:rPr>
        <w:t xml:space="preserve">100% foreign ownership is the default — but check the activity</w:t>
      </w:r>
    </w:p>
    <w:p>
      <w:pPr>
        <w:spacing w:after="60" w:line="264"/>
        <w:jc w:val="both"/>
      </w:pPr>
      <w:r>
        <w:rPr>
          <w:rFonts w:ascii="Calibri" w:cs="Calibri" w:eastAsia="Calibri" w:hAnsi="Calibri"/>
          <w:sz w:val="19"/>
          <w:szCs w:val="19"/>
        </w:rPr>
        <w:t xml:space="preserve">Full foreign ownership is now available for most mainland activities. Activities on the strategic-impact list determined by Cabinet decision remain restricted or conditional. Confirm the specific activity rather than relying on the general position.</w:t>
      </w:r>
    </w:p>
    <w:p>
      <w:pPr>
        <w:keepNext/>
        <w:spacing w:after="40" w:before="140"/>
      </w:pPr>
      <w:r>
        <w:rPr>
          <w:rFonts w:ascii="Calibri" w:cs="Calibri" w:eastAsia="Calibri" w:hAnsi="Calibri"/>
          <w:b/>
          <w:bCs/>
          <w:color w:val="14161B"/>
          <w:sz w:val="20"/>
          <w:szCs w:val="20"/>
        </w:rPr>
        <w:t xml:space="preserve">Attestation of foreign documents takes weeks</w:t>
      </w:r>
    </w:p>
    <w:p>
      <w:pPr>
        <w:spacing w:after="60" w:line="264"/>
        <w:jc w:val="both"/>
      </w:pPr>
      <w:r>
        <w:rPr>
          <w:rFonts w:ascii="Calibri" w:cs="Calibri" w:eastAsia="Calibri" w:hAnsi="Calibri"/>
          <w:sz w:val="19"/>
          <w:szCs w:val="19"/>
        </w:rPr>
        <w:t xml:space="preserve">Corporate shareholder documents issued abroad need attestation in the country of issue, legalisation through the UAE embassy, and then the Ministry of Foreign Affairs. This is the single most common cause of a stalled incorporation. Start it before the name reservation, not after the initial approval.</w:t>
      </w:r>
    </w:p>
    <w:p>
      <w:pPr>
        <w:keepNext/>
        <w:spacing w:after="40" w:before="140"/>
      </w:pPr>
      <w:r>
        <w:rPr>
          <w:rFonts w:ascii="Calibri" w:cs="Calibri" w:eastAsia="Calibri" w:hAnsi="Calibri"/>
          <w:b/>
          <w:bCs/>
          <w:color w:val="14161B"/>
          <w:sz w:val="20"/>
          <w:szCs w:val="20"/>
        </w:rPr>
        <w:t xml:space="preserve">The bank account is the critical path</w:t>
      </w:r>
    </w:p>
    <w:p>
      <w:pPr>
        <w:spacing w:after="60" w:line="264"/>
        <w:jc w:val="both"/>
      </w:pPr>
      <w:r>
        <w:rPr>
          <w:rFonts w:ascii="Calibri" w:cs="Calibri" w:eastAsia="Calibri" w:hAnsi="Calibri"/>
          <w:sz w:val="19"/>
          <w:szCs w:val="19"/>
        </w:rPr>
        <w:t xml:space="preserve">Corporate account opening involves enhanced due diligence on shareholders, beneficial owners and source of funds, and commonly takes longer than every other step combined. WPS runs through the account, and without WPS you cannot pay employees compliantly. Begin the moment the licence issues.</w:t>
      </w:r>
    </w:p>
    <w:p>
      <w:pPr>
        <w:keepNext/>
        <w:spacing w:after="40" w:before="140"/>
      </w:pPr>
      <w:r>
        <w:rPr>
          <w:rFonts w:ascii="Calibri" w:cs="Calibri" w:eastAsia="Calibri" w:hAnsi="Calibri"/>
          <w:b/>
          <w:bCs/>
          <w:color w:val="14161B"/>
          <w:sz w:val="20"/>
          <w:szCs w:val="20"/>
        </w:rPr>
        <w:t xml:space="preserve">The MOA is notarised and bilingual</w:t>
      </w:r>
    </w:p>
    <w:p>
      <w:pPr>
        <w:spacing w:after="60" w:line="264"/>
        <w:jc w:val="both"/>
      </w:pPr>
      <w:r>
        <w:rPr>
          <w:rFonts w:ascii="Calibri" w:cs="Calibri" w:eastAsia="Calibri" w:hAnsi="Calibri"/>
          <w:sz w:val="19"/>
          <w:szCs w:val="19"/>
        </w:rPr>
        <w:t xml:space="preserve">Unlike a Singapore constitution or an English-law articles of association, the mainland Memorandum of Association is notarised before a UAE notary and the Arabic text is the operative version. Amendments require notarisation again — build that into any plan involving share transfers or capital changes.</w:t>
      </w:r>
    </w:p>
    <w:p>
      <w:pPr>
        <w:keepNext/>
        <w:spacing w:after="40" w:before="140"/>
      </w:pPr>
      <w:r>
        <w:rPr>
          <w:rFonts w:ascii="Calibri" w:cs="Calibri" w:eastAsia="Calibri" w:hAnsi="Calibri"/>
          <w:b/>
          <w:bCs/>
          <w:color w:val="14161B"/>
          <w:sz w:val="20"/>
          <w:szCs w:val="20"/>
        </w:rPr>
        <w:t xml:space="preserve">Register for corporate tax even if you expect no liability</w:t>
      </w:r>
    </w:p>
    <w:p>
      <w:pPr>
        <w:spacing w:after="60" w:line="264"/>
        <w:jc w:val="both"/>
      </w:pPr>
      <w:r>
        <w:rPr>
          <w:rFonts w:ascii="Calibri" w:cs="Calibri" w:eastAsia="Calibri" w:hAnsi="Calibri"/>
          <w:sz w:val="19"/>
          <w:szCs w:val="19"/>
        </w:rPr>
        <w:t xml:space="preserve">Registration is required regardless of whether tax is payable. Businesses below the threshold, and those expecting to elect Small Business Relief, still register. Missing this is a straightforward and avoidable penalty.</w:t>
      </w:r>
    </w:p>
    <w:p>
      <w:pPr>
        <w:keepNext/>
        <w:spacing w:after="40" w:before="140"/>
      </w:pPr>
      <w:r>
        <w:rPr>
          <w:rFonts w:ascii="Calibri" w:cs="Calibri" w:eastAsia="Calibri" w:hAnsi="Calibri"/>
          <w:b/>
          <w:bCs/>
          <w:color w:val="14161B"/>
          <w:sz w:val="20"/>
          <w:szCs w:val="20"/>
        </w:rPr>
        <w:t xml:space="preserve">Assess Emiratisation before you reach the threshold</w:t>
      </w:r>
    </w:p>
    <w:p>
      <w:pPr>
        <w:spacing w:after="60" w:line="264"/>
        <w:jc w:val="both"/>
      </w:pPr>
      <w:r>
        <w:rPr>
          <w:rFonts w:ascii="Calibri" w:cs="Calibri" w:eastAsia="Calibri" w:hAnsi="Calibri"/>
          <w:sz w:val="19"/>
          <w:szCs w:val="19"/>
        </w:rPr>
        <w:t xml:space="preserve">Quota obligations attach at defined headcount levels and penalties compound monthly per unfilled position. A company planning to grow past 50 employees should model the requirement into its hiring plan rather than encountering it as a fine.</w:t>
      </w:r>
    </w:p>
    <w:p>
      <w:pPr>
        <w:keepNext/>
        <w:spacing w:after="40" w:before="140"/>
      </w:pPr>
      <w:r>
        <w:rPr>
          <w:rFonts w:ascii="Calibri" w:cs="Calibri" w:eastAsia="Calibri" w:hAnsi="Calibri"/>
          <w:b/>
          <w:bCs/>
          <w:color w:val="14161B"/>
          <w:sz w:val="20"/>
          <w:szCs w:val="20"/>
        </w:rPr>
        <w:t xml:space="preserve">UBO is not optional and not one-off</w:t>
      </w:r>
    </w:p>
    <w:p>
      <w:pPr>
        <w:spacing w:after="60" w:line="264"/>
        <w:jc w:val="both"/>
      </w:pPr>
      <w:r>
        <w:rPr>
          <w:rFonts w:ascii="Calibri" w:cs="Calibri" w:eastAsia="Calibri" w:hAnsi="Calibri"/>
          <w:sz w:val="19"/>
          <w:szCs w:val="19"/>
        </w:rPr>
        <w:t xml:space="preserve">The register must be established, filed, and kept current as ownership changes. It is checked in banking, in licensing and in due diligence, and it is frequently set up at incorporation and then never updated.</w:t>
      </w:r>
    </w:p>
    <w:p>
      <w:pPr>
        <w:keepNext/>
        <w:spacing w:after="40" w:before="140"/>
      </w:pPr>
      <w:r>
        <w:rPr>
          <w:rFonts w:ascii="Calibri" w:cs="Calibri" w:eastAsia="Calibri" w:hAnsi="Calibri"/>
          <w:b/>
          <w:bCs/>
          <w:color w:val="14161B"/>
          <w:sz w:val="20"/>
          <w:szCs w:val="20"/>
        </w:rPr>
        <w:t xml:space="preserve">Sector approvals gate the licence</w:t>
      </w:r>
    </w:p>
    <w:p>
      <w:pPr>
        <w:spacing w:after="60" w:line="264"/>
        <w:jc w:val="both"/>
      </w:pPr>
      <w:r>
        <w:rPr>
          <w:rFonts w:ascii="Calibri" w:cs="Calibri" w:eastAsia="Calibri" w:hAnsi="Calibri"/>
          <w:sz w:val="19"/>
          <w:szCs w:val="19"/>
        </w:rPr>
        <w:t xml:space="preserve">Health, education, transport, food, financial services, legal services and many other activities require approval from the relevant authority before the trade licence issues. Identify these at the activity stage; discovering one at submission adds weeks.</w:t>
      </w:r>
    </w:p>
    <w:p>
      <w:pPr>
        <w:keepNext/>
        <w:spacing w:after="40" w:before="140"/>
      </w:pPr>
      <w:r>
        <w:rPr>
          <w:rFonts w:ascii="Calibri" w:cs="Calibri" w:eastAsia="Calibri" w:hAnsi="Calibri"/>
          <w:b/>
          <w:bCs/>
          <w:color w:val="14161B"/>
          <w:sz w:val="20"/>
          <w:szCs w:val="20"/>
        </w:rPr>
        <w:t xml:space="preserve">Professional versus commercial form</w:t>
      </w:r>
    </w:p>
    <w:p>
      <w:pPr>
        <w:spacing w:after="60" w:line="264"/>
        <w:jc w:val="both"/>
      </w:pPr>
      <w:r>
        <w:rPr>
          <w:rFonts w:ascii="Calibri" w:cs="Calibri" w:eastAsia="Calibri" w:hAnsi="Calibri"/>
          <w:sz w:val="19"/>
          <w:szCs w:val="19"/>
        </w:rPr>
        <w:t xml:space="preserve">Professional activities may be licensed as a civil company or professional licence rather than an LLC, with different ownership and liability consequences. Take advice where the activity is a regulated profession.</w:t>
      </w:r>
    </w:p>
    <w:p>
      <w:pPr>
        <w:keepNext/>
        <w:spacing w:after="40" w:before="140"/>
      </w:pPr>
      <w:r>
        <w:rPr>
          <w:rFonts w:ascii="Calibri" w:cs="Calibri" w:eastAsia="Calibri" w:hAnsi="Calibri"/>
          <w:b/>
          <w:bCs/>
          <w:color w:val="14161B"/>
          <w:sz w:val="20"/>
          <w:szCs w:val="20"/>
        </w:rPr>
        <w:t xml:space="preserve">Keep the corporate file from day one</w:t>
      </w:r>
    </w:p>
    <w:p>
      <w:pPr>
        <w:spacing w:after="60" w:line="264"/>
        <w:jc w:val="both"/>
      </w:pPr>
      <w:r>
        <w:rPr>
          <w:rFonts w:ascii="Calibri" w:cs="Calibri" w:eastAsia="Calibri" w:hAnsi="Calibri"/>
          <w:sz w:val="19"/>
          <w:szCs w:val="19"/>
        </w:rPr>
        <w:t xml:space="preserve">Licence, MOA and amendments, notarised resolutions, share registers, UBO filings and lease documents belong in one place. Growing companies reconstruct this painfully at their first financing or bank review.</w:t>
      </w:r>
    </w:p>
    <w:p>
      <w:pPr>
        <w:keepNext/>
        <w:spacing w:after="40" w:before="140"/>
      </w:pPr>
      <w:r>
        <w:rPr>
          <w:rFonts w:ascii="Calibri" w:cs="Calibri" w:eastAsia="Calibri" w:hAnsi="Calibri"/>
          <w:b/>
          <w:bCs/>
          <w:color w:val="14161B"/>
          <w:sz w:val="20"/>
          <w:szCs w:val="20"/>
        </w:rPr>
        <w:t xml:space="preserve">Renewal dates cluster — diarise them together</w:t>
      </w:r>
    </w:p>
    <w:p>
      <w:pPr>
        <w:spacing w:after="60" w:line="264"/>
        <w:jc w:val="both"/>
      </w:pPr>
      <w:r>
        <w:rPr>
          <w:rFonts w:ascii="Calibri" w:cs="Calibri" w:eastAsia="Calibri" w:hAnsi="Calibri"/>
          <w:sz w:val="19"/>
          <w:szCs w:val="19"/>
        </w:rPr>
        <w:t xml:space="preserve">Licence, establishment card, immigration file, tenancy, Ejari, insurance and visas all renew on their own cycles. A single calendar with reminders prevents the cascade where a lapsed tenancy blocks a licence renewal which blocks a visa renewal.</w:t>
      </w:r>
    </w:p>
    <w:p>
      <w:pPr>
        <w:keepNext/>
        <w:spacing w:after="40" w:before="140"/>
      </w:pPr>
      <w:r>
        <w:rPr>
          <w:rFonts w:ascii="Calibri" w:cs="Calibri" w:eastAsia="Calibri" w:hAnsi="Calibri"/>
          <w:b/>
          <w:bCs/>
          <w:color w:val="14161B"/>
          <w:sz w:val="20"/>
          <w:szCs w:val="20"/>
        </w:rPr>
        <w:t xml:space="preserve">Redomiciliation is now available</w:t>
      </w:r>
    </w:p>
    <w:p>
      <w:pPr>
        <w:spacing w:after="60" w:line="264"/>
        <w:jc w:val="both"/>
      </w:pPr>
      <w:r>
        <w:rPr>
          <w:rFonts w:ascii="Calibri" w:cs="Calibri" w:eastAsia="Calibri" w:hAnsi="Calibri"/>
          <w:sz w:val="19"/>
          <w:szCs w:val="19"/>
        </w:rPr>
        <w:t xml:space="preserve">Recent amendments to the Commercial Companies Law introduced a mechanism to transfer a company’s registration between authorities, including between mainland and free zones. Getting the initial choice wrong is less permanent than it was — but it remains a process with approvals, not a switch.</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Licensing procedures differ by emirate and change frequently; foreign ownership rules, strategic activity lists, corporate tax and UBO requirements are all subject to amendment — confirm the current position with the relevant Department of Economic Development and take legal advice before incorporating.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2026-08-23T16:28:31.976Z</dcterms:created>
  <dcterms:modified xsi:type="dcterms:W3CDTF">2026-08-23T16:28:31.976Z</dcterms:modified>
</cp:coreProperties>
</file>

<file path=docProps/custom.xml><?xml version="1.0" encoding="utf-8"?>
<Properties xmlns="http://schemas.openxmlformats.org/officeDocument/2006/custom-properties" xmlns:vt="http://schemas.openxmlformats.org/officeDocument/2006/docPropsVTypes"/>
</file>