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LONG-TERM RESIDENCE</w:t>
      </w:r>
    </w:p>
    <w:p>
      <w:pPr>
        <w:spacing w:after="260"/>
        <w:jc w:val="center"/>
      </w:pPr>
      <w:r>
        <w:rPr>
          <w:rFonts w:ascii="Calibri" w:cs="Calibri" w:eastAsia="Calibri" w:hAnsi="Calibri"/>
          <w:i/>
          <w:iCs/>
          <w:color w:val="6E7480"/>
          <w:sz w:val="19"/>
          <w:szCs w:val="19"/>
        </w:rPr>
        <w:t xml:space="preserve">Golden Visa, Green Visa and self-sponsorship</w:t>
      </w:r>
    </w:p>
    <w:p>
      <w:pPr>
        <w:spacing w:after="180" w:before="0" w:line="276"/>
        <w:jc w:val="both"/>
      </w:pPr>
      <w:r>
        <w:rPr>
          <w:rFonts w:ascii="Calibri" w:cs="Calibri" w:eastAsia="Calibri" w:hAnsi="Calibri"/>
          <w:i/>
          <w:iCs/>
          <w:color w:val="6E7480"/>
          <w:sz w:val="21"/>
          <w:szCs w:val="21"/>
        </w:rPr>
        <w:t xml:space="preserve">The point employers get wrong, repeatedly: </w:t>
      </w:r>
      <w:r>
        <w:rPr>
          <w:rFonts w:ascii="Calibri" w:cs="Calibri" w:eastAsia="Calibri" w:hAnsi="Calibri"/>
          <w:b/>
          <w:bCs/>
          <w:i/>
          <w:iCs/>
          <w:color w:val="6E7480"/>
          <w:sz w:val="21"/>
          <w:szCs w:val="21"/>
        </w:rPr>
        <w:t xml:space="preserve">a Golden Visa holder working for your company still needs a work permit.</w:t>
      </w:r>
      <w:r>
        <w:rPr>
          <w:rFonts w:ascii="Calibri" w:cs="Calibri" w:eastAsia="Calibri" w:hAnsi="Calibri"/>
          <w:i/>
          <w:iCs/>
          <w:color w:val="6E7480"/>
          <w:sz w:val="21"/>
          <w:szCs w:val="21"/>
        </w:rPr>
        <w:t xml:space="preserve"> The visa removes the sponsorship dependency, not the employment compliance. WPS, health insurance, gratuity and — on the mainland — Emiratisation counting all continue to apply.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Individual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passport </w:t>
            </w: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[nationality]</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Current status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[Employer-sponsored / Family-sponsored / Visit / None]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Route considered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[Golden Visa / Green Visa / Freelance permit]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Eligibility category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Sponsor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Self</w:t>
            </w:r>
            <w:r>
              <w:rPr>
                <w:rFonts w:ascii="Calibri" w:cs="Calibri" w:eastAsia="Calibri" w:hAnsi="Calibri"/>
                <w:sz w:val="19"/>
                <w:szCs w:val="19"/>
              </w:rPr>
              <w:t xml:space="preserve"> — for Golden and Green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Work permit still required?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if taking employment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where employed]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Application through</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[ICP / GDRFA / free zone]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Submitted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  Issued: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Valid until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THE ROUTES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1349"/>
        <w:gridCol w:w="1734"/>
        <w:gridCol w:w="4435"/>
      </w:tblGrid>
      <w:tr>
        <w:trPr>
          <w:cantSplit/>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Route</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Sponsor</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Typical duration</w:t>
            </w:r>
          </w:p>
        </w:tc>
        <w:tc>
          <w:tcPr>
            <w:tcW w:type="dxa" w:w="443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Broad eligibility</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Standard employment visa</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employer</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[2–3]</w:t>
            </w:r>
            <w:r>
              <w:rPr>
                <w:rFonts w:ascii="Calibri" w:cs="Calibri" w:eastAsia="Calibri" w:hAnsi="Calibri"/>
                <w:sz w:val="17"/>
                <w:szCs w:val="17"/>
              </w:rPr>
              <w:t xml:space="preserve"> years</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Employment with a licensed employer; tied to that employer</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Green Visa</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Self</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[5]</w:t>
            </w:r>
            <w:r>
              <w:rPr>
                <w:rFonts w:ascii="Calibri" w:cs="Calibri" w:eastAsia="Calibri" w:hAnsi="Calibri"/>
                <w:sz w:val="17"/>
                <w:szCs w:val="17"/>
              </w:rPr>
              <w:t xml:space="preserve"> years</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Skilled employees meeting a salary and qualification threshold; freelancers with a permit; investors</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Golden Visa</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Self</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[10]</w:t>
            </w:r>
            <w:r>
              <w:rPr>
                <w:rFonts w:ascii="Calibri" w:cs="Calibri" w:eastAsia="Calibri" w:hAnsi="Calibri"/>
                <w:sz w:val="17"/>
                <w:szCs w:val="17"/>
              </w:rPr>
              <w:t xml:space="preserve"> years, renewable</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Investors, entrepreneurs, specialised talent, scientists, doctors, engineers, outstanding students, and categories added over time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Freelance permit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Self</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the permit</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Independent professional activity in defined fields</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Family sponsorship</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resident family member</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Follows the sponsor</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Dependants, subject to salary and accommodation conditions</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[Other categories]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[Varies]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[Varies]</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Long-term routes have been extended to further categories — </w:t>
            </w:r>
            <w:r>
              <w:rPr>
                <w:rFonts w:ascii="Calibri" w:cs="Calibri" w:eastAsia="Calibri" w:hAnsi="Calibri"/>
                <w:b/>
                <w:bCs/>
                <w:sz w:val="17"/>
                <w:szCs w:val="17"/>
              </w:rPr>
              <w:t xml:space="preserve">confirm the current list</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Eligibility categories and thresholds for the long-term routes have been extended repeatedly. Any list is a snapshot. Confirm the current categories and criteria with ICP or GDRFA before advising anyone.</w:t>
      </w:r>
    </w:p>
    <w:p>
      <w:pPr>
        <w:keepNext/>
        <w:spacing w:after="120" w:before="280"/>
        <w:outlineLvl w:val="0"/>
      </w:pPr>
      <w:r>
        <w:rPr>
          <w:rFonts w:ascii="Calibri" w:cs="Calibri" w:eastAsia="Calibri" w:hAnsi="Calibri"/>
          <w:b/>
          <w:bCs/>
          <w:color w:val="14161B"/>
          <w:sz w:val="22"/>
          <w:szCs w:val="22"/>
        </w:rPr>
        <w:t xml:space="preserve">2. WHAT SELF-SPONSORSHIP CHANGES — AND WHAT IT DOES NOT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3084"/>
        <w:gridCol w:w="3663"/>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p>
        </w:tc>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Employer-sponsored</w:t>
            </w:r>
          </w:p>
        </w:tc>
        <w:tc>
          <w:tcPr>
            <w:tcW w:type="dxa" w:w="36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Golden or Green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Who sponsors residence</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employer</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The individual</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Residence tied to the job</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Yes</w:t>
            </w:r>
            <w:r>
              <w:rPr>
                <w:rFonts w:ascii="Calibri" w:cs="Calibri" w:eastAsia="Calibri" w:hAnsi="Calibri"/>
                <w:sz w:val="17"/>
                <w:szCs w:val="17"/>
              </w:rPr>
              <w:t xml:space="preserve"> — ends when employment ends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w:t>
            </w:r>
            <w:r>
              <w:rPr>
                <w:rFonts w:ascii="Calibri" w:cs="Calibri" w:eastAsia="Calibri" w:hAnsi="Calibri"/>
                <w:sz w:val="17"/>
                <w:szCs w:val="17"/>
              </w:rPr>
              <w:t xml:space="preserve"> — continues independently</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Work permit needed to be employed</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Yes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Yes — still required</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Employer pays permit costs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Yes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Yes</w:t>
            </w:r>
            <w:r>
              <w:rPr>
                <w:rFonts w:ascii="Calibri" w:cs="Calibri" w:eastAsia="Calibri" w:hAnsi="Calibri"/>
                <w:sz w:val="17"/>
                <w:szCs w:val="17"/>
              </w:rPr>
              <w:t xml:space="preserve"> — the permit is the employer’s obligation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WPS applies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Yes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Yes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Health insurance obligation</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Employer</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Employer, while employed</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Gratuity accrues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Yes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Yes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Counts for Emiratisation base</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Yes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Yes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Grace period if employment ends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Limited, then must leave or transfer</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None needed</w:t>
            </w:r>
            <w:r>
              <w:rPr>
                <w:rFonts w:ascii="Calibri" w:cs="Calibri" w:eastAsia="Calibri" w:hAnsi="Calibri"/>
                <w:sz w:val="17"/>
                <w:szCs w:val="17"/>
              </w:rPr>
              <w:t xml:space="preserve"> — residence continues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Can sponsor family</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Subject to conditions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Generally yes, longer term</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b/>
          <w:bCs/>
          <w:sz w:val="21"/>
          <w:szCs w:val="21"/>
        </w:rPr>
        <w:t xml:space="preserve">The whole employment compliance stack is unchanged.</w:t>
      </w:r>
      <w:r>
        <w:rPr>
          <w:rFonts w:ascii="Calibri" w:cs="Calibri" w:eastAsia="Calibri" w:hAnsi="Calibri"/>
          <w:sz w:val="21"/>
          <w:szCs w:val="21"/>
        </w:rPr>
        <w:t xml:space="preserve"> Employers who believe a Golden Visa holder can simply start work have skipped the permit, and penalties for employing without one are substantial.</w:t>
      </w:r>
    </w:p>
    <w:p>
      <w:pPr>
        <w:keepNext/>
        <w:spacing w:after="120" w:before="280"/>
        <w:outlineLvl w:val="0"/>
      </w:pPr>
      <w:r>
        <w:rPr>
          <w:rFonts w:ascii="Calibri" w:cs="Calibri" w:eastAsia="Calibri" w:hAnsi="Calibri"/>
          <w:b/>
          <w:bCs/>
          <w:color w:val="14161B"/>
          <w:sz w:val="22"/>
          <w:szCs w:val="22"/>
        </w:rPr>
        <w:t xml:space="preserve">3. WHY IT MATTERS TO THE EMPLOYER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cantSplit/>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Benefit</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Retention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 employee whose residence does not depend on you is more likely to stay for the right reasons — and less likely to be poached by an employer offering visa security</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Reduced sponsorship risk</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Departure does not create an immediate immigration problem for the individual</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cancellation and grace period scramble on exit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residence continues; only the permit is cancelled</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Attractive in offers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Supporting a Golden Visa application is a low-cost, high-value gesture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Family stability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Longer-term family sponsorship reduces relocation churn</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i/>
          <w:iCs/>
          <w:sz w:val="21"/>
          <w:szCs w:val="21"/>
        </w:rPr>
        <w:t xml:space="preserve">Employers sometimes resist supporting long-term visas, reasoning that sponsorship dependency aids retention. It does not — it produces employees who stay because they must, and who leave the moment they can. Supporting the application generally buys more goodwill than the dependency ever bought.</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PROCESS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240"/>
        <w:gridCol w:w="3469"/>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the eligibility category and current criteria</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They change</w:t>
            </w:r>
            <w:r>
              <w:rPr>
                <w:rFonts w:ascii="Calibri" w:cs="Calibri" w:eastAsia="Calibri" w:hAnsi="Calibri"/>
                <w:sz w:val="17"/>
                <w:szCs w:val="17"/>
              </w:rPr>
              <w:t xml:space="preserve"> — verify with ICP or GDRFA</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Assemble evidence of eligibility</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Salary certificates, qualifications, valuations, nominations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Attest qualifications and foreign documents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Allow weeks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Submit through the correct channel</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ICP or GDRFA depending on the emirate and category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Nomination where the category requires it</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Some categories are nomination-based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Medical fitness test</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Emirates ID application and biometrics</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Residence issued</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Work permit obtained or amended by the employer</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Still required to work</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Existing employer-sponsored visa cancelled where applicable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Sequence carefully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Health insurance confirmed</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Family sponsorship applications where wanted</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Renewal date diarised</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i/>
          <w:iCs/>
          <w:sz w:val="21"/>
          <w:szCs w:val="21"/>
        </w:rPr>
        <w:t xml:space="preserve">Sequence steps 9 and 10 carefully. Cancelling the employer-sponsored visa before the new residence and permit are in place leaves the individual without status.</w:t>
      </w:r>
    </w:p>
    <w:p>
      <w:pPr>
        <w:keepNext/>
        <w:spacing w:after="120" w:before="280"/>
        <w:outlineLvl w:val="0"/>
      </w:pPr>
      <w:r>
        <w:rPr>
          <w:rFonts w:ascii="Calibri" w:cs="Calibri" w:eastAsia="Calibri" w:hAnsi="Calibri"/>
          <w:b/>
          <w:bCs/>
          <w:color w:val="14161B"/>
          <w:sz w:val="22"/>
          <w:szCs w:val="22"/>
        </w:rPr>
        <w:t xml:space="preserve">5. EMPLOYER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Does every long-term visa holder working here hold a valid work permit?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 the permit job title consistent with the actual role and the licence?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Are they paid through WPS at the registered salary?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 health insurance in place?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 gratuity accruing correctly on basic salary?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Are they counted correctly in the Emiratisation base?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 the MOHRE employment contract registered?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Are permit and residence expiry dates tracked separately?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departure, is only the permit cancelled — not the residence?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Are entitlements still settled within 14 days?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i/>
          <w:iCs/>
          <w:sz w:val="21"/>
          <w:szCs w:val="21"/>
        </w:rPr>
        <w:t xml:space="preserve">Check 8 matters operationally. A self-sponsored residence and an employer work permit have different expiry dates and different renewal routes. Tracking them as one date produces a lapsed permit while the residence is valid — and the person is then working unlawfully.</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 Golden Visa is not a work permit</w:t>
      </w:r>
    </w:p>
    <w:p>
      <w:pPr>
        <w:spacing w:after="60" w:line="264"/>
        <w:jc w:val="both"/>
      </w:pPr>
      <w:r>
        <w:rPr>
          <w:rFonts w:ascii="Calibri" w:cs="Calibri" w:eastAsia="Calibri" w:hAnsi="Calibri"/>
          <w:sz w:val="19"/>
          <w:szCs w:val="19"/>
        </w:rPr>
        <w:t xml:space="preserve">This is the most consequential misunderstanding in the area. A Golden or Green Visa holder taking employment still requires a work permit from MOHRE or the relevant zone. The visa changes who sponsors residence; it changes nothing about employment compliance, and employing without a permit attracts substantial penalties.</w:t>
      </w:r>
    </w:p>
    <w:p>
      <w:pPr>
        <w:keepNext/>
        <w:spacing w:after="40" w:before="140"/>
      </w:pPr>
      <w:r>
        <w:rPr>
          <w:rFonts w:ascii="Calibri" w:cs="Calibri" w:eastAsia="Calibri" w:hAnsi="Calibri"/>
          <w:b/>
          <w:bCs/>
          <w:color w:val="14161B"/>
          <w:sz w:val="20"/>
          <w:szCs w:val="20"/>
        </w:rPr>
        <w:t xml:space="preserve">Every employer obligation continues</w:t>
      </w:r>
    </w:p>
    <w:p>
      <w:pPr>
        <w:spacing w:after="60" w:line="264"/>
        <w:jc w:val="both"/>
      </w:pPr>
      <w:r>
        <w:rPr>
          <w:rFonts w:ascii="Calibri" w:cs="Calibri" w:eastAsia="Calibri" w:hAnsi="Calibri"/>
          <w:sz w:val="19"/>
          <w:szCs w:val="19"/>
        </w:rPr>
        <w:t xml:space="preserve">Work permit costs, WPS payment at the registered salary, health insurance, gratuity accrual, the MOHRE registered contract and Emiratisation counting all apply exactly as they would for an employer-sponsored employee. Section 2 sets it out because employers assume otherwise.</w:t>
      </w:r>
    </w:p>
    <w:p>
      <w:pPr>
        <w:keepNext/>
        <w:spacing w:after="40" w:before="140"/>
      </w:pPr>
      <w:r>
        <w:rPr>
          <w:rFonts w:ascii="Calibri" w:cs="Calibri" w:eastAsia="Calibri" w:hAnsi="Calibri"/>
          <w:b/>
          <w:bCs/>
          <w:color w:val="14161B"/>
          <w:sz w:val="20"/>
          <w:szCs w:val="20"/>
        </w:rPr>
        <w:t xml:space="preserve">Track permit and residence expiries separately</w:t>
      </w:r>
    </w:p>
    <w:p>
      <w:pPr>
        <w:spacing w:after="60" w:line="264"/>
        <w:jc w:val="both"/>
      </w:pPr>
      <w:r>
        <w:rPr>
          <w:rFonts w:ascii="Calibri" w:cs="Calibri" w:eastAsia="Calibri" w:hAnsi="Calibri"/>
          <w:sz w:val="19"/>
          <w:szCs w:val="19"/>
        </w:rPr>
        <w:t xml:space="preserve">A self-sponsored residence and an employer-issued permit have different validity periods and different renewal routes. HR systems that treat them as one date produce a lapsed permit alongside a valid residence, and the individual is then working unlawfully without anyone noticing.</w:t>
      </w:r>
    </w:p>
    <w:p>
      <w:pPr>
        <w:keepNext/>
        <w:spacing w:after="40" w:before="140"/>
      </w:pPr>
      <w:r>
        <w:rPr>
          <w:rFonts w:ascii="Calibri" w:cs="Calibri" w:eastAsia="Calibri" w:hAnsi="Calibri"/>
          <w:b/>
          <w:bCs/>
          <w:color w:val="14161B"/>
          <w:sz w:val="20"/>
          <w:szCs w:val="20"/>
        </w:rPr>
        <w:t xml:space="preserve">Cancel the permit, not the residence, on departure</w:t>
      </w:r>
    </w:p>
    <w:p>
      <w:pPr>
        <w:spacing w:after="60" w:line="264"/>
        <w:jc w:val="both"/>
      </w:pPr>
      <w:r>
        <w:rPr>
          <w:rFonts w:ascii="Calibri" w:cs="Calibri" w:eastAsia="Calibri" w:hAnsi="Calibri"/>
          <w:sz w:val="19"/>
          <w:szCs w:val="19"/>
        </w:rPr>
        <w:t xml:space="preserve">When a long-term visa holder leaves your employment, only the work permit is cancelled. Their residence continues independently. Cancelling as though it were an employer-sponsored visa creates an unnecessary problem for someone who has done nothing wrong.</w:t>
      </w:r>
    </w:p>
    <w:p>
      <w:pPr>
        <w:keepNext/>
        <w:spacing w:after="40" w:before="140"/>
      </w:pPr>
      <w:r>
        <w:rPr>
          <w:rFonts w:ascii="Calibri" w:cs="Calibri" w:eastAsia="Calibri" w:hAnsi="Calibri"/>
          <w:b/>
          <w:bCs/>
          <w:color w:val="14161B"/>
          <w:sz w:val="20"/>
          <w:szCs w:val="20"/>
        </w:rPr>
        <w:t xml:space="preserve">Sequence a transition carefully</w:t>
      </w:r>
    </w:p>
    <w:p>
      <w:pPr>
        <w:spacing w:after="60" w:line="264"/>
        <w:jc w:val="both"/>
      </w:pPr>
      <w:r>
        <w:rPr>
          <w:rFonts w:ascii="Calibri" w:cs="Calibri" w:eastAsia="Calibri" w:hAnsi="Calibri"/>
          <w:sz w:val="19"/>
          <w:szCs w:val="19"/>
        </w:rPr>
        <w:t xml:space="preserve">Where an employee moves from employer sponsorship to self-sponsorship, the new residence and permit should be in place before the old visa is cancelled. Doing it in the wrong order leaves them without status, sometimes with dependants attached to their sponsorship.</w:t>
      </w:r>
    </w:p>
    <w:p>
      <w:pPr>
        <w:keepNext/>
        <w:spacing w:after="40" w:before="140"/>
      </w:pPr>
      <w:r>
        <w:rPr>
          <w:rFonts w:ascii="Calibri" w:cs="Calibri" w:eastAsia="Calibri" w:hAnsi="Calibri"/>
          <w:b/>
          <w:bCs/>
          <w:color w:val="14161B"/>
          <w:sz w:val="20"/>
          <w:szCs w:val="20"/>
        </w:rPr>
        <w:t xml:space="preserve">Eligibility categories keep expanding</w:t>
      </w:r>
    </w:p>
    <w:p>
      <w:pPr>
        <w:spacing w:after="60" w:line="264"/>
        <w:jc w:val="both"/>
      </w:pPr>
      <w:r>
        <w:rPr>
          <w:rFonts w:ascii="Calibri" w:cs="Calibri" w:eastAsia="Calibri" w:hAnsi="Calibri"/>
          <w:sz w:val="19"/>
          <w:szCs w:val="19"/>
        </w:rPr>
        <w:t xml:space="preserve">The long-term residence routes have been extended repeatedly to new professions and categories, and salary and investment thresholds have moved. Any list is a snapshot. Verify the current categories and criteria with ICP or GDRFA before advising an employee.</w:t>
      </w:r>
    </w:p>
    <w:p>
      <w:pPr>
        <w:keepNext/>
        <w:spacing w:after="40" w:before="140"/>
      </w:pPr>
      <w:r>
        <w:rPr>
          <w:rFonts w:ascii="Calibri" w:cs="Calibri" w:eastAsia="Calibri" w:hAnsi="Calibri"/>
          <w:b/>
          <w:bCs/>
          <w:color w:val="14161B"/>
          <w:sz w:val="20"/>
          <w:szCs w:val="20"/>
        </w:rPr>
        <w:t xml:space="preserve">Supporting the application is cheap goodwill</w:t>
      </w:r>
    </w:p>
    <w:p>
      <w:pPr>
        <w:spacing w:after="60" w:line="264"/>
        <w:jc w:val="both"/>
      </w:pPr>
      <w:r>
        <w:rPr>
          <w:rFonts w:ascii="Calibri" w:cs="Calibri" w:eastAsia="Calibri" w:hAnsi="Calibri"/>
          <w:sz w:val="19"/>
          <w:szCs w:val="19"/>
        </w:rPr>
        <w:t xml:space="preserve">Employers sometimes resist, reasoning that sponsorship dependency aids retention. It produces employees who stay because they must and leave as soon as they can. Helping with the application costs little and is remembered.</w:t>
      </w:r>
    </w:p>
    <w:p>
      <w:pPr>
        <w:keepNext/>
        <w:spacing w:after="40" w:before="140"/>
      </w:pPr>
      <w:r>
        <w:rPr>
          <w:rFonts w:ascii="Calibri" w:cs="Calibri" w:eastAsia="Calibri" w:hAnsi="Calibri"/>
          <w:b/>
          <w:bCs/>
          <w:color w:val="14161B"/>
          <w:sz w:val="20"/>
          <w:szCs w:val="20"/>
        </w:rPr>
        <w:t xml:space="preserve">Attestation of qualifications takes weeks</w:t>
      </w:r>
    </w:p>
    <w:p>
      <w:pPr>
        <w:spacing w:after="60" w:line="264"/>
        <w:jc w:val="both"/>
      </w:pPr>
      <w:r>
        <w:rPr>
          <w:rFonts w:ascii="Calibri" w:cs="Calibri" w:eastAsia="Calibri" w:hAnsi="Calibri"/>
          <w:sz w:val="19"/>
          <w:szCs w:val="19"/>
        </w:rPr>
        <w:t xml:space="preserve">Categories resting on qualifications require attested certificates — attested in the issuing country, legalised through the UAE embassy, and attested by the Ministry of Foreign Affairs. Start this before assembling anything else.</w:t>
      </w:r>
    </w:p>
    <w:p>
      <w:pPr>
        <w:keepNext/>
        <w:spacing w:after="40" w:before="140"/>
      </w:pPr>
      <w:r>
        <w:rPr>
          <w:rFonts w:ascii="Calibri" w:cs="Calibri" w:eastAsia="Calibri" w:hAnsi="Calibri"/>
          <w:b/>
          <w:bCs/>
          <w:color w:val="14161B"/>
          <w:sz w:val="20"/>
          <w:szCs w:val="20"/>
        </w:rPr>
        <w:t xml:space="preserve">Some categories are nomination-based</w:t>
      </w:r>
    </w:p>
    <w:p>
      <w:pPr>
        <w:spacing w:after="60" w:line="264"/>
        <w:jc w:val="both"/>
      </w:pPr>
      <w:r>
        <w:rPr>
          <w:rFonts w:ascii="Calibri" w:cs="Calibri" w:eastAsia="Calibri" w:hAnsi="Calibri"/>
          <w:sz w:val="19"/>
          <w:szCs w:val="19"/>
        </w:rPr>
        <w:t xml:space="preserve">Certain long-term residence routes require nomination by a competent authority rather than direct application. Establish which applies before preparing a file for the wrong process.</w:t>
      </w:r>
    </w:p>
    <w:p>
      <w:pPr>
        <w:keepNext/>
        <w:spacing w:after="40" w:before="140"/>
      </w:pPr>
      <w:r>
        <w:rPr>
          <w:rFonts w:ascii="Calibri" w:cs="Calibri" w:eastAsia="Calibri" w:hAnsi="Calibri"/>
          <w:b/>
          <w:bCs/>
          <w:color w:val="14161B"/>
          <w:sz w:val="20"/>
          <w:szCs w:val="20"/>
        </w:rPr>
        <w:t xml:space="preserve">Family sponsorship changes with the route</w:t>
      </w:r>
    </w:p>
    <w:p>
      <w:pPr>
        <w:spacing w:after="60" w:line="264"/>
        <w:jc w:val="both"/>
      </w:pPr>
      <w:r>
        <w:rPr>
          <w:rFonts w:ascii="Calibri" w:cs="Calibri" w:eastAsia="Calibri" w:hAnsi="Calibri"/>
          <w:sz w:val="19"/>
          <w:szCs w:val="19"/>
        </w:rPr>
        <w:t xml:space="preserve">Long-term residence generally allows the holder to sponsor family for a longer period, which materially affects relocation decisions. It is worth mentioning to a candidate weighing an offer.</w:t>
      </w:r>
    </w:p>
    <w:p>
      <w:pPr>
        <w:keepNext/>
        <w:spacing w:after="40" w:before="140"/>
      </w:pPr>
      <w:r>
        <w:rPr>
          <w:rFonts w:ascii="Calibri" w:cs="Calibri" w:eastAsia="Calibri" w:hAnsi="Calibri"/>
          <w:b/>
          <w:bCs/>
          <w:color w:val="14161B"/>
          <w:sz w:val="20"/>
          <w:szCs w:val="20"/>
        </w:rPr>
        <w:t xml:space="preserve">The permit job title still has to match</w:t>
      </w:r>
    </w:p>
    <w:p>
      <w:pPr>
        <w:spacing w:after="60" w:line="264"/>
        <w:jc w:val="both"/>
      </w:pPr>
      <w:r>
        <w:rPr>
          <w:rFonts w:ascii="Calibri" w:cs="Calibri" w:eastAsia="Calibri" w:hAnsi="Calibri"/>
          <w:sz w:val="19"/>
          <w:szCs w:val="19"/>
        </w:rPr>
        <w:t xml:space="preserve">A long-term visa does not free the employer from matching the permit job title to the actual role and to the licensed activity. A mismatch produces the same problems it would for any employee.</w:t>
      </w:r>
    </w:p>
    <w:p>
      <w:pPr>
        <w:keepNext/>
        <w:spacing w:after="40" w:before="140"/>
      </w:pPr>
      <w:r>
        <w:rPr>
          <w:rFonts w:ascii="Calibri" w:cs="Calibri" w:eastAsia="Calibri" w:hAnsi="Calibri"/>
          <w:b/>
          <w:bCs/>
          <w:color w:val="14161B"/>
          <w:sz w:val="20"/>
          <w:szCs w:val="20"/>
        </w:rPr>
        <w:t xml:space="preserve">Freelance permits are a distinct route</w:t>
      </w:r>
    </w:p>
    <w:p>
      <w:pPr>
        <w:spacing w:after="60" w:line="264"/>
        <w:jc w:val="both"/>
      </w:pPr>
      <w:r>
        <w:rPr>
          <w:rFonts w:ascii="Calibri" w:cs="Calibri" w:eastAsia="Calibri" w:hAnsi="Calibri"/>
          <w:sz w:val="19"/>
          <w:szCs w:val="19"/>
        </w:rPr>
        <w:t xml:space="preserve">A freelance permit allows independent professional activity in defined fields and is not the same as either employment or a long-term residence visa. Engaging a freelancer means checking their permit covers the services you are buying.</w:t>
      </w:r>
    </w:p>
    <w:p>
      <w:pPr>
        <w:keepNext/>
        <w:spacing w:after="40" w:before="140"/>
      </w:pPr>
      <w:r>
        <w:rPr>
          <w:rFonts w:ascii="Calibri" w:cs="Calibri" w:eastAsia="Calibri" w:hAnsi="Calibri"/>
          <w:b/>
          <w:bCs/>
          <w:color w:val="14161B"/>
          <w:sz w:val="20"/>
          <w:szCs w:val="20"/>
        </w:rPr>
        <w:t xml:space="preserve">Property-linked routes exist and have conditions</w:t>
      </w:r>
    </w:p>
    <w:p>
      <w:pPr>
        <w:spacing w:after="60" w:line="264"/>
        <w:jc w:val="both"/>
      </w:pPr>
      <w:r>
        <w:rPr>
          <w:rFonts w:ascii="Calibri" w:cs="Calibri" w:eastAsia="Calibri" w:hAnsi="Calibri"/>
          <w:sz w:val="19"/>
          <w:szCs w:val="19"/>
        </w:rPr>
        <w:t xml:space="preserve">Residence linked to property ownership is available on terms that have changed, including the value thresholds and whether the visa permits employment. It generally does not permit working without a separate permit. Verify current conditions.</w:t>
      </w:r>
    </w:p>
    <w:p>
      <w:pPr>
        <w:keepNext/>
        <w:spacing w:after="40" w:before="140"/>
      </w:pPr>
      <w:r>
        <w:rPr>
          <w:rFonts w:ascii="Calibri" w:cs="Calibri" w:eastAsia="Calibri" w:hAnsi="Calibri"/>
          <w:b/>
          <w:bCs/>
          <w:color w:val="14161B"/>
          <w:sz w:val="20"/>
          <w:szCs w:val="20"/>
        </w:rPr>
        <w:t xml:space="preserve">Diarise the renewal</w:t>
      </w:r>
    </w:p>
    <w:p>
      <w:pPr>
        <w:spacing w:after="60" w:line="264"/>
        <w:jc w:val="both"/>
      </w:pPr>
      <w:r>
        <w:rPr>
          <w:rFonts w:ascii="Calibri" w:cs="Calibri" w:eastAsia="Calibri" w:hAnsi="Calibri"/>
          <w:sz w:val="19"/>
          <w:szCs w:val="19"/>
        </w:rPr>
        <w:t xml:space="preserve">A ten-year visa feels permanent and is forgotten. Diarise the renewal at issue, along with Emirates ID renewal, which runs on its own cycle.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Golden and Green Visa categories, salary and investment thresholds, nomination routes, property-linked residence conditions and application channels all change frequently — confirm the current position with ICP, GDRFA or the relevant free zone before applying or advising.</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2026-08-23T16:28:34.854Z</dcterms:created>
  <dcterms:modified xsi:type="dcterms:W3CDTF">2026-08-23T16:28:34.854Z</dcterms:modified>
</cp:coreProperties>
</file>

<file path=docProps/custom.xml><?xml version="1.0" encoding="utf-8"?>
<Properties xmlns="http://schemas.openxmlformats.org/officeDocument/2006/custom-properties" xmlns:vt="http://schemas.openxmlformats.org/officeDocument/2006/docPropsVTypes"/>
</file>