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LOAN AGREEMENT</w:t>
      </w:r>
    </w:p>
    <w:p>
      <w:pPr>
        <w:spacing w:after="260"/>
        <w:jc w:val="center"/>
      </w:pPr>
      <w:r>
        <w:rPr>
          <w:rFonts w:ascii="Calibri" w:cs="Calibri" w:eastAsia="Calibri" w:hAnsi="Calibri"/>
          <w:i/>
          <w:iCs/>
          <w:color w:val="6E7480"/>
          <w:sz w:val="19"/>
          <w:szCs w:val="19"/>
        </w:rPr>
        <w:t xml:space="preserve">Term loan — </w:t>
      </w:r>
      <w:r>
        <w:rPr>
          <w:rFonts w:ascii="Calibri" w:cs="Calibri" w:eastAsia="Calibri" w:hAnsi="Calibri"/>
          <w:b/>
          <w:bCs/>
          <w:i/>
          <w:iCs/>
          <w:color w:val="6E7480"/>
          <w:sz w:val="19"/>
          <w:szCs w:val="19"/>
        </w:rPr>
        <w:t xml:space="preserve">[LENDER]</w:t>
      </w:r>
      <w:r>
        <w:rPr>
          <w:rFonts w:ascii="Calibri" w:cs="Calibri" w:eastAsia="Calibri" w:hAnsi="Calibri"/>
          <w:i/>
          <w:iCs/>
          <w:color w:val="6E7480"/>
          <w:sz w:val="19"/>
          <w:szCs w:val="19"/>
        </w:rPr>
        <w:t xml:space="preserve"> to </w:t>
      </w:r>
      <w:r>
        <w:rPr>
          <w:rFonts w:ascii="Calibri" w:cs="Calibri" w:eastAsia="Calibri" w:hAnsi="Calibri"/>
          <w:b/>
          <w:bCs/>
          <w:i/>
          <w:iCs/>
          <w:color w:val="6E7480"/>
          <w:sz w:val="19"/>
          <w:szCs w:val="19"/>
        </w:rPr>
        <w:t xml:space="preserve">[BORROWER]</w:t>
      </w:r>
    </w:p>
    <w:p>
      <w:pPr>
        <w:spacing w:after="180" w:before="0" w:line="276"/>
        <w:jc w:val="both"/>
      </w:pPr>
      <w:r>
        <w:rPr>
          <w:rFonts w:ascii="Calibri" w:cs="Calibri" w:eastAsia="Calibri" w:hAnsi="Calibri"/>
          <w:i/>
          <w:iCs/>
          <w:color w:val="6E7480"/>
          <w:sz w:val="21"/>
          <w:szCs w:val="21"/>
        </w:rPr>
        <w:t xml:space="preserve">Two UAE points shape this document. </w:t>
      </w:r>
      <w:r>
        <w:rPr>
          <w:rFonts w:ascii="Calibri" w:cs="Calibri" w:eastAsia="Calibri" w:hAnsi="Calibri"/>
          <w:b/>
          <w:bCs/>
          <w:i/>
          <w:iCs/>
          <w:color w:val="6E7480"/>
          <w:sz w:val="21"/>
          <w:szCs w:val="21"/>
        </w:rPr>
        <w:t xml:space="preserve">Interest</w:t>
      </w:r>
      <w:r>
        <w:rPr>
          <w:rFonts w:ascii="Calibri" w:cs="Calibri" w:eastAsia="Calibri" w:hAnsi="Calibri"/>
          <w:i/>
          <w:iCs/>
          <w:color w:val="6E7480"/>
          <w:sz w:val="21"/>
          <w:szCs w:val="21"/>
        </w:rPr>
        <w:t xml:space="preserve"> requires care — the position differs between onshore and the financial free zones, and compounding is treated differently again. And </w:t>
      </w:r>
      <w:r>
        <w:rPr>
          <w:rFonts w:ascii="Calibri" w:cs="Calibri" w:eastAsia="Calibri" w:hAnsi="Calibri"/>
          <w:b/>
          <w:bCs/>
          <w:i/>
          <w:iCs/>
          <w:color w:val="6E7480"/>
          <w:sz w:val="21"/>
          <w:szCs w:val="21"/>
        </w:rPr>
        <w:t xml:space="preserve">security</w:t>
      </w:r>
      <w:r>
        <w:rPr>
          <w:rFonts w:ascii="Calibri" w:cs="Calibri" w:eastAsia="Calibri" w:hAnsi="Calibri"/>
          <w:i/>
          <w:iCs/>
          <w:color w:val="6E7480"/>
          <w:sz w:val="21"/>
          <w:szCs w:val="21"/>
        </w:rPr>
        <w:t xml:space="preserve"> is only as good as its registration: a charge over movable assets that is not registered where required may not survive the borrower’s insolvency.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Lender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[licence / Emirates ID]</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Borrower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Jurisdiction and forum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 of ______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Principal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Purpose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[RATE]</w:t>
            </w:r>
            <w:r>
              <w:rPr>
                <w:rFonts w:ascii="Calibri" w:cs="Calibri" w:eastAsia="Calibri" w:hAnsi="Calibri"/>
                <w:sz w:val="19"/>
                <w:szCs w:val="19"/>
              </w:rPr>
              <w:t xml:space="preserve"> per cent per annum, </w:t>
            </w:r>
            <w:r>
              <w:rPr>
                <w:rFonts w:ascii="Calibri" w:cs="Calibri" w:eastAsia="Calibri" w:hAnsi="Calibri"/>
                <w:b/>
                <w:bCs/>
                <w:sz w:val="19"/>
                <w:szCs w:val="19"/>
              </w:rPr>
              <w:t xml:space="preserve">[simple]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Repayment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[Bullet on maturity / Equal monthly instalments]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Drawdown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  Maturity: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[None / Charge over ______ / Guarantee by ______ / Cheques]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Charge registration due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where a registrable security interest is created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Is the lender in the business of lending?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see Section 1</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[English / Bilingual — Arabic prevails onshore]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DRAFTING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047"/>
        <w:gridCol w:w="5206"/>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52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the lender carrying on a lending or finance business?</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Regulated activity requires authorisation. A one-off shareholder loan is different from a lending business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either party licensed for the activity?</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company lending outside its licensed activities creates questions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this a </w:t>
            </w:r>
            <w:r>
              <w:rPr>
                <w:rFonts w:ascii="Calibri" w:cs="Calibri" w:eastAsia="Calibri" w:hAnsi="Calibri"/>
                <w:b/>
                <w:bCs/>
                <w:sz w:val="17"/>
                <w:szCs w:val="17"/>
              </w:rPr>
              <w:t xml:space="preserve">shareholder or director loan</w:t>
            </w:r>
            <w:r>
              <w:rPr>
                <w:rFonts w:ascii="Calibri" w:cs="Calibri" w:eastAsia="Calibri" w:hAnsi="Calibri"/>
                <w:sz w:val="17"/>
                <w:szCs w:val="17"/>
              </w:rPr>
              <w:t xml:space="preserve">?</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Connected person rules and transfer pricing apply</w:t>
            </w:r>
            <w:r>
              <w:rPr>
                <w:rFonts w:ascii="Calibri" w:cs="Calibri" w:eastAsia="Calibri" w:hAnsi="Calibri"/>
                <w:sz w:val="17"/>
                <w:szCs w:val="17"/>
              </w:rPr>
              <w:t xml:space="preserve"> — it must be at arm’s length</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it a </w:t>
            </w:r>
            <w:r>
              <w:rPr>
                <w:rFonts w:ascii="Calibri" w:cs="Calibri" w:eastAsia="Calibri" w:hAnsi="Calibri"/>
                <w:b/>
                <w:bCs/>
                <w:sz w:val="17"/>
                <w:szCs w:val="17"/>
              </w:rPr>
              <w:t xml:space="preserve">loan to a director</w:t>
            </w:r>
            <w:r>
              <w:rPr>
                <w:rFonts w:ascii="Calibri" w:cs="Calibri" w:eastAsia="Calibri" w:hAnsi="Calibri"/>
                <w:sz w:val="17"/>
                <w:szCs w:val="17"/>
              </w:rPr>
              <w:t xml:space="preserve">?</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Restrictions may apply — take advice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Onshore, DIFC or ADGM?</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Interest treatment and enforcement differ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security being taken, and is it registrable?</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Registration determines whether it survives insolvency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cheques being given as security?</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them; see Section 6</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the borrower have existing facilities with a negative pledge?</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Granting security may trigger default elsewhere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Withholding on interest to a non-resident lender?</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position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Bilingual version needed?</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Arabic prevails onshore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Question 3 catches owner-managed businesses. A loan from the owner to the company, or the reverse, is a related party transaction for corporate tax purposes and must be on arm’s length terms with documentation — including an arm’s length interest rate. Interest-free shareholder loans are the most common informal arrangement and the most commonly adjusted.</w:t>
      </w:r>
    </w:p>
    <w:p>
      <w:pPr>
        <w:keepNext/>
        <w:spacing w:after="120" w:before="280"/>
        <w:outlineLvl w:val="0"/>
      </w:pPr>
      <w:r>
        <w:rPr>
          <w:rFonts w:ascii="Calibri" w:cs="Calibri" w:eastAsia="Calibri" w:hAnsi="Calibri"/>
          <w:b/>
          <w:bCs/>
          <w:color w:val="14161B"/>
          <w:sz w:val="22"/>
          <w:szCs w:val="22"/>
        </w:rPr>
        <w:t xml:space="preserve">2. THE LOAN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Lender agrees to lend and the Borrower to borrow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on the terms of this agreement.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Loan shall be advanced on </w:t>
      </w:r>
      <w:r>
        <w:rPr>
          <w:rFonts w:ascii="Calibri" w:cs="Calibri" w:eastAsia="Calibri" w:hAnsi="Calibri"/>
          <w:b/>
          <w:bCs/>
          <w:sz w:val="21"/>
          <w:szCs w:val="21"/>
        </w:rPr>
        <w:t xml:space="preserve">[DATE]</w:t>
      </w:r>
      <w:r>
        <w:rPr>
          <w:rFonts w:ascii="Calibri" w:cs="Calibri" w:eastAsia="Calibri" w:hAnsi="Calibri"/>
          <w:sz w:val="21"/>
          <w:szCs w:val="21"/>
        </w:rPr>
        <w:t xml:space="preserve"> by transfer to the Borrower’s account at </w:t>
      </w:r>
      <w:r>
        <w:rPr>
          <w:rFonts w:ascii="Calibri" w:cs="Calibri" w:eastAsia="Calibri" w:hAnsi="Calibri"/>
          <w:b/>
          <w:bCs/>
          <w:sz w:val="21"/>
          <w:szCs w:val="21"/>
        </w:rPr>
        <w:t xml:space="preserve">[BANK]</w:t>
      </w:r>
      <w:r>
        <w:rPr>
          <w:rFonts w:ascii="Calibri" w:cs="Calibri" w:eastAsia="Calibri" w:hAnsi="Calibri"/>
          <w:sz w:val="21"/>
          <w:szCs w:val="21"/>
        </w:rPr>
        <w:t xml:space="preserve">, IBAN </w:t>
      </w:r>
      <w:r>
        <w:rPr>
          <w:rFonts w:ascii="Calibri" w:cs="Calibri" w:eastAsia="Calibri" w:hAnsi="Calibri"/>
          <w:b/>
          <w:bCs/>
          <w:sz w:val="21"/>
          <w:szCs w:val="21"/>
        </w:rPr>
        <w:t xml:space="preserve">[NUMBER]</w:t>
      </w:r>
      <w:r>
        <w:rPr>
          <w:rFonts w:ascii="Calibri" w:cs="Calibri" w:eastAsia="Calibri" w:hAnsi="Calibri"/>
          <w:sz w:val="21"/>
          <w:szCs w:val="21"/>
        </w:rPr>
        <w:t xml:space="preserve">, subject to the conditions in Clause 3.</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Borrower shall apply the Loan </w:t>
      </w:r>
      <w:r>
        <w:rPr>
          <w:rFonts w:ascii="Calibri" w:cs="Calibri" w:eastAsia="Calibri" w:hAnsi="Calibri"/>
          <w:b/>
          <w:bCs/>
          <w:sz w:val="21"/>
          <w:szCs w:val="21"/>
        </w:rPr>
        <w:t xml:space="preserve">only for </w:t>
      </w:r>
      <w:r>
        <w:rPr>
          <w:rFonts w:ascii="Calibri" w:cs="Calibri" w:eastAsia="Calibri" w:hAnsi="Calibri"/>
          <w:b/>
          <w:bCs/>
          <w:sz w:val="21"/>
          <w:szCs w:val="21"/>
        </w:rPr>
        <w:t xml:space="preserve">[THE STATED PURPOSE]</w:t>
      </w:r>
      <w:r>
        <w:rPr>
          <w:rFonts w:ascii="Calibri" w:cs="Calibri" w:eastAsia="Calibri" w:hAnsi="Calibri"/>
          <w:sz w:val="21"/>
          <w:szCs w:val="21"/>
        </w:rPr>
        <w:t xml:space="preserve"> and shall provide evidence of application on request.</w:t>
      </w:r>
    </w:p>
    <w:p>
      <w:pPr>
        <w:keepNext/>
        <w:spacing w:after="120" w:before="280"/>
        <w:outlineLvl w:val="0"/>
      </w:pPr>
      <w:r>
        <w:rPr>
          <w:rFonts w:ascii="Calibri" w:cs="Calibri" w:eastAsia="Calibri" w:hAnsi="Calibri"/>
          <w:b/>
          <w:bCs/>
          <w:color w:val="14161B"/>
          <w:sz w:val="22"/>
          <w:szCs w:val="22"/>
        </w:rPr>
        <w:t xml:space="preserve">3. CONDITIONS PRECEDENT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Lender is not obliged to advance until it has received, in form satisfactory to it: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this agreement duly executed, and where required notarised;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 copy of the Borrower’s trade licence and constitutional documents;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 resolution of the Borrower approving the borrowing, and where the constitution requires it a shareholders’ resolution, notarised where required;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b/>
          <w:bCs/>
          <w:sz w:val="21"/>
          <w:szCs w:val="21"/>
        </w:rPr>
        <w:t xml:space="preserve">[security documents executed, with evidence that any registrable security will be registered within the required period]</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b/>
          <w:bCs/>
          <w:sz w:val="21"/>
          <w:szCs w:val="21"/>
        </w:rPr>
        <w:t xml:space="preserve">[any guarantee executed, with evidence of independent advice]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the Borrower’s most recent financial statements;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identification and beneficial ownership information.</w:t>
      </w:r>
    </w:p>
    <w:p>
      <w:pPr>
        <w:keepNext/>
        <w:spacing w:after="120" w:before="280"/>
        <w:outlineLvl w:val="0"/>
      </w:pPr>
      <w:r>
        <w:rPr>
          <w:rFonts w:ascii="Calibri" w:cs="Calibri" w:eastAsia="Calibri" w:hAnsi="Calibri"/>
          <w:b/>
          <w:bCs/>
          <w:color w:val="14161B"/>
          <w:sz w:val="22"/>
          <w:szCs w:val="22"/>
        </w:rPr>
        <w:t xml:space="preserve">4. INTEREST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Interest accrues on the outstanding principal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calculated on the actual days elapsed over a </w:t>
      </w:r>
      <w:r>
        <w:rPr>
          <w:rFonts w:ascii="Calibri" w:cs="Calibri" w:eastAsia="Calibri" w:hAnsi="Calibri"/>
          <w:b/>
          <w:bCs/>
          <w:sz w:val="21"/>
          <w:szCs w:val="21"/>
        </w:rPr>
        <w:t xml:space="preserve">[365]</w:t>
      </w:r>
      <w:r>
        <w:rPr>
          <w:rFonts w:ascii="Calibri" w:cs="Calibri" w:eastAsia="Calibri" w:hAnsi="Calibri"/>
          <w:sz w:val="21"/>
          <w:szCs w:val="21"/>
        </w:rPr>
        <w:t xml:space="preserve">-day year.</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Interest is payable </w:t>
      </w:r>
      <w:r>
        <w:rPr>
          <w:rFonts w:ascii="Calibri" w:cs="Calibri" w:eastAsia="Calibri" w:hAnsi="Calibri"/>
          <w:b/>
          <w:bCs/>
          <w:sz w:val="21"/>
          <w:szCs w:val="21"/>
        </w:rPr>
        <w:t xml:space="preserve">[monthly / quarterly]</w:t>
      </w:r>
      <w:r>
        <w:rPr>
          <w:rFonts w:ascii="Calibri" w:cs="Calibri" w:eastAsia="Calibri" w:hAnsi="Calibri"/>
          <w:sz w:val="21"/>
          <w:szCs w:val="21"/>
        </w:rPr>
        <w:t xml:space="preserve"> in arrears.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Interest is simple and is not compounded.</w:t>
      </w:r>
      <w:r>
        <w:rPr>
          <w:rFonts w:ascii="Calibri" w:cs="Calibri" w:eastAsia="Calibri" w:hAnsi="Calibri"/>
          <w:sz w:val="21"/>
          <w:szCs w:val="21"/>
        </w:rPr>
        <w:t xml:space="preserve"> </w:t>
      </w:r>
      <w:r>
        <w:rPr>
          <w:rFonts w:ascii="Calibri" w:cs="Calibri" w:eastAsia="Calibri" w:hAnsi="Calibri"/>
          <w:i/>
          <w:iCs/>
          <w:sz w:val="21"/>
          <w:szCs w:val="21"/>
        </w:rPr>
        <w:t xml:space="preserve">Compounding is treated restrictively onshore; do not include a compounding provision without advice.</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Default interest.</w:t>
      </w:r>
      <w:r>
        <w:rPr>
          <w:rFonts w:ascii="Calibri" w:cs="Calibri" w:eastAsia="Calibri" w:hAnsi="Calibri"/>
          <w:sz w:val="21"/>
          <w:szCs w:val="21"/>
        </w:rPr>
        <w:t xml:space="preserve"> Any sum unpaid when due carries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from the due date.</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i/>
          <w:iCs/>
          <w:sz w:val="21"/>
          <w:szCs w:val="21"/>
        </w:rPr>
        <w:t xml:space="preserve">Keep default interest modest. A punitive rate risks being reduced or set aside, and the amounts a court will award onshore may be capped irrespective of what the contract says. Confirm the current position for the forum.</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b/>
          <w:bCs/>
          <w:sz w:val="21"/>
          <w:szCs w:val="21"/>
        </w:rPr>
        <w:t xml:space="preserve">[Where the lender is non-resident]</w:t>
      </w:r>
      <w:r>
        <w:rPr>
          <w:rFonts w:ascii="Calibri" w:cs="Calibri" w:eastAsia="Calibri" w:hAnsi="Calibri"/>
          <w:sz w:val="21"/>
          <w:szCs w:val="21"/>
        </w:rPr>
        <w:t xml:space="preserve"> Where withholding is required on a payment of interest, </w:t>
      </w:r>
      <w:r>
        <w:rPr>
          <w:rFonts w:ascii="Calibri" w:cs="Calibri" w:eastAsia="Calibri" w:hAnsi="Calibri"/>
          <w:b/>
          <w:bCs/>
          <w:sz w:val="21"/>
          <w:szCs w:val="21"/>
        </w:rPr>
        <w:t xml:space="preserve">[the Borrower shall gross up / the Lender bears it]</w:t>
      </w:r>
      <w:r>
        <w:rPr>
          <w:rFonts w:ascii="Calibri" w:cs="Calibri" w:eastAsia="Calibri" w:hAnsi="Calibri"/>
          <w:sz w:val="21"/>
          <w:szCs w:val="21"/>
        </w:rPr>
        <w:t xml:space="preserve">. </w:t>
      </w:r>
      <w:r>
        <w:rPr>
          <w:rFonts w:ascii="Calibri" w:cs="Calibri" w:eastAsia="Calibri" w:hAnsi="Calibri"/>
          <w:i/>
          <w:iCs/>
          <w:sz w:val="21"/>
          <w:szCs w:val="21"/>
        </w:rPr>
        <w:t xml:space="preserve">(Specify — a commercial decision.)</w:t>
      </w:r>
    </w:p>
    <w:p>
      <w:pPr>
        <w:keepNext/>
        <w:spacing w:after="120" w:before="280"/>
        <w:outlineLvl w:val="0"/>
      </w:pPr>
      <w:r>
        <w:rPr>
          <w:rFonts w:ascii="Calibri" w:cs="Calibri" w:eastAsia="Calibri" w:hAnsi="Calibri"/>
          <w:b/>
          <w:bCs/>
          <w:color w:val="14161B"/>
          <w:sz w:val="22"/>
          <w:szCs w:val="22"/>
        </w:rPr>
        <w:t xml:space="preserve">5. REPAYMENT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Borrower shall repay in full on the Maturity Date — </w:t>
      </w:r>
      <w:r>
        <w:rPr>
          <w:rFonts w:ascii="Calibri" w:cs="Calibri" w:eastAsia="Calibri" w:hAnsi="Calibri"/>
          <w:i/>
          <w:iCs/>
          <w:sz w:val="21"/>
          <w:szCs w:val="21"/>
        </w:rPr>
        <w:t xml:space="preserve">or in equal monthly instalments; specify which applies and complete the number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Borrower may prepay on </w:t>
      </w:r>
      <w:r>
        <w:rPr>
          <w:rFonts w:ascii="Calibri" w:cs="Calibri" w:eastAsia="Calibri" w:hAnsi="Calibri"/>
          <w:b/>
          <w:bCs/>
          <w:sz w:val="21"/>
          <w:szCs w:val="21"/>
        </w:rPr>
        <w:t xml:space="preserve">[5]</w:t>
      </w:r>
      <w:r>
        <w:rPr>
          <w:rFonts w:ascii="Calibri" w:cs="Calibri" w:eastAsia="Calibri" w:hAnsi="Calibri"/>
          <w:sz w:val="21"/>
          <w:szCs w:val="21"/>
        </w:rPr>
        <w:t xml:space="preserve"> business days notice, </w:t>
      </w:r>
      <w:r>
        <w:rPr>
          <w:rFonts w:ascii="Calibri" w:cs="Calibri" w:eastAsia="Calibri" w:hAnsi="Calibri"/>
          <w:b/>
          <w:bCs/>
          <w:sz w:val="21"/>
          <w:szCs w:val="21"/>
        </w:rPr>
        <w:t xml:space="preserve">[without penalty / subject to a fee of ______ per cent]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Amounts prepaid may not be redrawn.</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Payments are applied first to costs, then default interest, then accrued interest, then principal.</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All payments shall be made without deduction, set-off or counterclaim.</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SECURITY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b/>
          <w:bCs/>
          <w:sz w:val="21"/>
          <w:szCs w:val="21"/>
        </w:rPr>
        <w:t xml:space="preserve">[Where security is given]</w:t>
      </w:r>
      <w:r>
        <w:rPr>
          <w:rFonts w:ascii="Calibri" w:cs="Calibri" w:eastAsia="Calibri" w:hAnsi="Calibri"/>
          <w:sz w:val="21"/>
          <w:szCs w:val="21"/>
        </w:rPr>
        <w:t xml:space="preserve"> The Loan is secured by </w:t>
      </w:r>
      <w:r>
        <w:rPr>
          <w:rFonts w:ascii="Calibri" w:cs="Calibri" w:eastAsia="Calibri" w:hAnsi="Calibri"/>
          <w:b/>
          <w:bCs/>
          <w:sz w:val="21"/>
          <w:szCs w:val="21"/>
        </w:rPr>
        <w:t xml:space="preserve">[DESCRIBE — a security interest over ______, a mortgage over ______, an assignment of ______]</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Registration.</w:t>
      </w:r>
      <w:r>
        <w:rPr>
          <w:rFonts w:ascii="Calibri" w:cs="Calibri" w:eastAsia="Calibri" w:hAnsi="Calibri"/>
          <w:sz w:val="21"/>
          <w:szCs w:val="21"/>
        </w:rPr>
        <w:t xml:space="preserve"> Where a registrable security interest is created, it shall be </w:t>
      </w:r>
      <w:r>
        <w:rPr>
          <w:rFonts w:ascii="Calibri" w:cs="Calibri" w:eastAsia="Calibri" w:hAnsi="Calibri"/>
          <w:b/>
          <w:bCs/>
          <w:sz w:val="21"/>
          <w:szCs w:val="21"/>
        </w:rPr>
        <w:t xml:space="preserve">registered within the period required</w:t>
      </w:r>
      <w:r>
        <w:rPr>
          <w:rFonts w:ascii="Calibri" w:cs="Calibri" w:eastAsia="Calibri" w:hAnsi="Calibri"/>
          <w:sz w:val="21"/>
          <w:szCs w:val="21"/>
        </w:rPr>
        <w:t xml:space="preserve"> in the applicable register. </w:t>
      </w:r>
      <w:r>
        <w:rPr>
          <w:rFonts w:ascii="Calibri" w:cs="Calibri" w:eastAsia="Calibri" w:hAnsi="Calibri"/>
          <w:i/>
          <w:iCs/>
          <w:sz w:val="21"/>
          <w:szCs w:val="21"/>
        </w:rPr>
        <w:t xml:space="preserve">A security interest not registered where registration is required may be ineffective against a liquidator or a third party — the debt survives, the security does not. Confirm the applicable register and deadline for the specific asset class.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[Where cheques are given]</w:t>
      </w:r>
      <w:r>
        <w:rPr>
          <w:rFonts w:ascii="Calibri" w:cs="Calibri" w:eastAsia="Calibri" w:hAnsi="Calibri"/>
          <w:sz w:val="21"/>
          <w:szCs w:val="21"/>
        </w:rPr>
        <w:t xml:space="preserve"> The Borrower has provided </w:t>
      </w:r>
      <w:r>
        <w:rPr>
          <w:rFonts w:ascii="Calibri" w:cs="Calibri" w:eastAsia="Calibri" w:hAnsi="Calibri"/>
          <w:b/>
          <w:bCs/>
          <w:sz w:val="21"/>
          <w:szCs w:val="21"/>
        </w:rPr>
        <w:t xml:space="preserve">[NUMBER]</w:t>
      </w:r>
      <w:r>
        <w:rPr>
          <w:rFonts w:ascii="Calibri" w:cs="Calibri" w:eastAsia="Calibri" w:hAnsi="Calibri"/>
          <w:sz w:val="21"/>
          <w:szCs w:val="21"/>
        </w:rPr>
        <w:t xml:space="preserve"> cheques as security. Each is held solely as security, shall be presented only after a demand that is not satisfied, and shall be </w:t>
      </w:r>
      <w:r>
        <w:rPr>
          <w:rFonts w:ascii="Calibri" w:cs="Calibri" w:eastAsia="Calibri" w:hAnsi="Calibri"/>
          <w:b/>
          <w:bCs/>
          <w:sz w:val="21"/>
          <w:szCs w:val="21"/>
        </w:rPr>
        <w:t xml:space="preserve">returned with written confirmation</w:t>
      </w:r>
      <w:r>
        <w:rPr>
          <w:rFonts w:ascii="Calibri" w:cs="Calibri" w:eastAsia="Calibri" w:hAnsi="Calibri"/>
          <w:sz w:val="21"/>
          <w:szCs w:val="21"/>
        </w:rPr>
        <w:t xml:space="preserve"> on repayment in full. A record of each cheque shall be maintained by both parties.</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i/>
          <w:iCs/>
          <w:sz w:val="21"/>
          <w:szCs w:val="21"/>
        </w:rPr>
        <w:t xml:space="preserve">The treatment of dishonoured cheques was substantially reformed in 2022, with much enforcement now running through civil routes and a cheque capable of being treated as an instrument of execution. Confirm the current position before relying on cheques as the principal security.</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b/>
          <w:bCs/>
          <w:sz w:val="21"/>
          <w:szCs w:val="21"/>
        </w:rPr>
        <w:t xml:space="preserve">[Where a guarantee is given]</w:t>
      </w:r>
      <w:r>
        <w:rPr>
          <w:rFonts w:ascii="Calibri" w:cs="Calibri" w:eastAsia="Calibri" w:hAnsi="Calibri"/>
          <w:sz w:val="21"/>
          <w:szCs w:val="21"/>
        </w:rPr>
        <w:t xml:space="preserve"> The obligations are guaranteed by </w:t>
      </w:r>
      <w:r>
        <w:rPr>
          <w:rFonts w:ascii="Calibri" w:cs="Calibri" w:eastAsia="Calibri" w:hAnsi="Calibri"/>
          <w:b/>
          <w:bCs/>
          <w:sz w:val="21"/>
          <w:szCs w:val="21"/>
        </w:rPr>
        <w:t xml:space="preserve">[NAME]</w:t>
      </w:r>
      <w:r>
        <w:rPr>
          <w:rFonts w:ascii="Calibri" w:cs="Calibri" w:eastAsia="Calibri" w:hAnsi="Calibri"/>
          <w:sz w:val="21"/>
          <w:szCs w:val="21"/>
        </w:rPr>
        <w:t xml:space="preserve"> on the terms of the guarantee executed alongside.</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The Lender shall release the security promptly on repayment in full and shall file any discharge required.</w:t>
      </w:r>
    </w:p>
    <w:p>
      <w:pPr>
        <w:keepNext/>
        <w:spacing w:after="120" w:before="280"/>
        <w:outlineLvl w:val="0"/>
      </w:pPr>
      <w:r>
        <w:rPr>
          <w:rFonts w:ascii="Calibri" w:cs="Calibri" w:eastAsia="Calibri" w:hAnsi="Calibri"/>
          <w:b/>
          <w:bCs/>
          <w:color w:val="14161B"/>
          <w:sz w:val="22"/>
          <w:szCs w:val="22"/>
        </w:rPr>
        <w:t xml:space="preserve">7. UNDERTAKINGS AND DEFAULT</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Borrower represents that it is duly licensed and has power to enter into this agreement, that this agreement is binding, that no default has occurred, that the financial statements provided are accurate, and that there is no material litigation.</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While any amount is outstanding, the Borrower shall provide annual financial statements within </w:t>
      </w:r>
      <w:r>
        <w:rPr>
          <w:rFonts w:ascii="Calibri" w:cs="Calibri" w:eastAsia="Calibri" w:hAnsi="Calibri"/>
          <w:b/>
          <w:bCs/>
          <w:sz w:val="21"/>
          <w:szCs w:val="21"/>
        </w:rPr>
        <w:t xml:space="preserve">[120]</w:t>
      </w:r>
      <w:r>
        <w:rPr>
          <w:rFonts w:ascii="Calibri" w:cs="Calibri" w:eastAsia="Calibri" w:hAnsi="Calibri"/>
          <w:sz w:val="21"/>
          <w:szCs w:val="21"/>
        </w:rPr>
        <w:t xml:space="preserve"> days and management accounts each </w:t>
      </w:r>
      <w:r>
        <w:rPr>
          <w:rFonts w:ascii="Calibri" w:cs="Calibri" w:eastAsia="Calibri" w:hAnsi="Calibri"/>
          <w:b/>
          <w:bCs/>
          <w:sz w:val="21"/>
          <w:szCs w:val="21"/>
        </w:rPr>
        <w:t xml:space="preserve">[quarter]</w:t>
      </w:r>
      <w:r>
        <w:rPr>
          <w:rFonts w:ascii="Calibri" w:cs="Calibri" w:eastAsia="Calibri" w:hAnsi="Calibri"/>
          <w:sz w:val="21"/>
          <w:szCs w:val="21"/>
        </w:rPr>
        <w:t xml:space="preserve">; notify the Lender promptly of any default, material litigation or material adverse change; </w:t>
      </w:r>
      <w:r>
        <w:rPr>
          <w:rFonts w:ascii="Calibri" w:cs="Calibri" w:eastAsia="Calibri" w:hAnsi="Calibri"/>
          <w:b/>
          <w:bCs/>
          <w:sz w:val="21"/>
          <w:szCs w:val="21"/>
        </w:rPr>
        <w:t xml:space="preserve">not create security over its assets</w:t>
      </w:r>
      <w:r>
        <w:rPr>
          <w:rFonts w:ascii="Calibri" w:cs="Calibri" w:eastAsia="Calibri" w:hAnsi="Calibri"/>
          <w:sz w:val="21"/>
          <w:szCs w:val="21"/>
        </w:rPr>
        <w:t xml:space="preserve"> without consent; not dispose of assets outside the ordinary course above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not make distributions while a default subsists; maintain its licence and insurance; and </w:t>
      </w:r>
      <w:r>
        <w:rPr>
          <w:rFonts w:ascii="Calibri" w:cs="Calibri" w:eastAsia="Calibri" w:hAnsi="Calibri"/>
          <w:b/>
          <w:bCs/>
          <w:sz w:val="21"/>
          <w:szCs w:val="21"/>
        </w:rPr>
        <w:t xml:space="preserve">[comply with the financial covenants in Schedule 1]</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Each of the following is an </w:t>
      </w:r>
      <w:r>
        <w:rPr>
          <w:rFonts w:ascii="Calibri" w:cs="Calibri" w:eastAsia="Calibri" w:hAnsi="Calibri"/>
          <w:b/>
          <w:bCs/>
          <w:sz w:val="21"/>
          <w:szCs w:val="21"/>
        </w:rPr>
        <w:t xml:space="preserve">Event of Default</w:t>
      </w:r>
      <w:r>
        <w:rPr>
          <w:rFonts w:ascii="Calibri" w:cs="Calibri" w:eastAsia="Calibri" w:hAnsi="Calibri"/>
          <w:sz w:val="21"/>
          <w:szCs w:val="21"/>
        </w:rPr>
        <w:t xml:space="preserve">: non-payment within </w:t>
      </w:r>
      <w:r>
        <w:rPr>
          <w:rFonts w:ascii="Calibri" w:cs="Calibri" w:eastAsia="Calibri" w:hAnsi="Calibri"/>
          <w:b/>
          <w:bCs/>
          <w:sz w:val="21"/>
          <w:szCs w:val="21"/>
        </w:rPr>
        <w:t xml:space="preserve">[5]</w:t>
      </w:r>
      <w:r>
        <w:rPr>
          <w:rFonts w:ascii="Calibri" w:cs="Calibri" w:eastAsia="Calibri" w:hAnsi="Calibri"/>
          <w:sz w:val="21"/>
          <w:szCs w:val="21"/>
        </w:rPr>
        <w:t xml:space="preserve"> business days of the due date; breach of another obligation not remedied within </w:t>
      </w:r>
      <w:r>
        <w:rPr>
          <w:rFonts w:ascii="Calibri" w:cs="Calibri" w:eastAsia="Calibri" w:hAnsi="Calibri"/>
          <w:b/>
          <w:bCs/>
          <w:sz w:val="21"/>
          <w:szCs w:val="21"/>
        </w:rPr>
        <w:t xml:space="preserve">[14]</w:t>
      </w:r>
      <w:r>
        <w:rPr>
          <w:rFonts w:ascii="Calibri" w:cs="Calibri" w:eastAsia="Calibri" w:hAnsi="Calibri"/>
          <w:sz w:val="21"/>
          <w:szCs w:val="21"/>
        </w:rPr>
        <w:t xml:space="preserve"> days; a materially incorrect representation; insolvency or the appointment of a liquidator; cessation of business or loss of the trade licence; any security ceasing to be effective; or default under other financial indebtedness above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On an Event of Default the Lender may declare the Loan immediately due, cancel any undrawn commitment, and enforce any security.</w:t>
      </w:r>
    </w:p>
    <w:p>
      <w:pPr>
        <w:keepNext/>
        <w:spacing w:after="120" w:before="280"/>
        <w:outlineLvl w:val="0"/>
      </w:pPr>
      <w:r>
        <w:rPr>
          <w:rFonts w:ascii="Calibri" w:cs="Calibri" w:eastAsia="Calibri" w:hAnsi="Calibri"/>
          <w:b/>
          <w:bCs/>
          <w:color w:val="14161B"/>
          <w:sz w:val="22"/>
          <w:szCs w:val="22"/>
        </w:rPr>
        <w:t xml:space="preserve">8.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Borrower shall pay the Lender’s reasonable costs of preparing and enforcing this agreement and any security.</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Lender may assign; the Borrower may not without consent.</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No failure or delay operates as a waiver.</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This is the entire agreement; no amendment is effective unless in writing and signed.</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Governed by </w:t>
      </w:r>
      <w:r>
        <w:rPr>
          <w:rFonts w:ascii="Calibri" w:cs="Calibri" w:eastAsia="Calibri" w:hAnsi="Calibri"/>
          <w:b/>
          <w:bCs/>
          <w:sz w:val="21"/>
          <w:szCs w:val="21"/>
        </w:rPr>
        <w:t xml:space="preserve">[the laws of the UAE and the emirate of ______ / DIFC law / ADGM law]</w:t>
      </w:r>
      <w:r>
        <w:rPr>
          <w:rFonts w:ascii="Calibri" w:cs="Calibri" w:eastAsia="Calibri" w:hAnsi="Calibri"/>
          <w:sz w:val="21"/>
          <w:szCs w:val="21"/>
        </w:rPr>
        <w:t xml:space="preserve">, with </w:t>
      </w:r>
      <w:r>
        <w:rPr>
          <w:rFonts w:ascii="Calibri" w:cs="Calibri" w:eastAsia="Calibri" w:hAnsi="Calibri"/>
          <w:b/>
          <w:bCs/>
          <w:sz w:val="21"/>
          <w:szCs w:val="21"/>
        </w:rPr>
        <w:t xml:space="preserve">[the courts of ______ / the DIFC Courts / the ADGM Courts]</w:t>
      </w:r>
      <w:r>
        <w:rPr>
          <w:rFonts w:ascii="Calibri" w:cs="Calibri" w:eastAsia="Calibri" w:hAnsi="Calibri"/>
          <w:sz w:val="21"/>
          <w:szCs w:val="21"/>
        </w:rPr>
        <w:t xml:space="preserve"> having jurisdiction.</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b/>
          <w:bCs/>
          <w:sz w:val="21"/>
          <w:szCs w:val="21"/>
        </w:rPr>
        <w:t xml:space="preserve">[Where bilingual]</w:t>
      </w:r>
      <w:r>
        <w:rPr>
          <w:rFonts w:ascii="Calibri" w:cs="Calibri" w:eastAsia="Calibri" w:hAnsi="Calibri"/>
          <w:sz w:val="21"/>
          <w:szCs w:val="21"/>
        </w:rPr>
        <w:t xml:space="preserve"> Executed in English and Arabic. </w:t>
      </w:r>
      <w:r>
        <w:rPr>
          <w:rFonts w:ascii="Calibri" w:cs="Calibri" w:eastAsia="Calibri" w:hAnsi="Calibri"/>
          <w:b/>
          <w:bCs/>
          <w:sz w:val="21"/>
          <w:szCs w:val="21"/>
        </w:rPr>
        <w:t xml:space="preserve">In the event of conflict the Arabic version prevails.</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Lender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Borrower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Pre-Advance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Lending activity and licensing position confirmed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Borrower’s constitution permits the borrowing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Resolutions passed; notarised where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Existing facilities checked for negative pledge and cross-default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Assets to be secured are unencumbered, or prior consent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Registration requirement and deadline for the security identified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Responsibility for registration agreed in writing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Managers satisfied as to solvency; cash flow projection retained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Interests declared where the lender is a connected person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Arm’s length terms and transfer pricing documentation where related party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Restrictions on loans to directors considered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Guarantor has taken independent advice, evidenced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Cheques recorded with amounts, dates and return conditions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Withholding position on interest determined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Arabic version prepared where the forum is onshore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Funds advanced only after all conditions satisfied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Establish whether lending is the lender’s business</w:t>
      </w:r>
    </w:p>
    <w:p>
      <w:pPr>
        <w:spacing w:after="60" w:line="264"/>
        <w:jc w:val="both"/>
      </w:pPr>
      <w:r>
        <w:rPr>
          <w:rFonts w:ascii="Calibri" w:cs="Calibri" w:eastAsia="Calibri" w:hAnsi="Calibri"/>
          <w:sz w:val="19"/>
          <w:szCs w:val="19"/>
        </w:rPr>
        <w:t xml:space="preserve">Carrying on a lending or finance business is a regulated activity requiring authorisation, and it differs entirely from a one-off shareholder or intercompany loan. Confirm the position before advancing, and confirm the lending entity’s licence covers what it is doing.</w:t>
      </w:r>
    </w:p>
    <w:p>
      <w:pPr>
        <w:keepNext/>
        <w:spacing w:after="40" w:before="140"/>
      </w:pPr>
      <w:r>
        <w:rPr>
          <w:rFonts w:ascii="Calibri" w:cs="Calibri" w:eastAsia="Calibri" w:hAnsi="Calibri"/>
          <w:b/>
          <w:bCs/>
          <w:color w:val="14161B"/>
          <w:sz w:val="20"/>
          <w:szCs w:val="20"/>
        </w:rPr>
        <w:t xml:space="preserve">Shareholder and intercompany loans are related party transactions</w:t>
      </w:r>
    </w:p>
    <w:p>
      <w:pPr>
        <w:spacing w:after="60" w:line="264"/>
        <w:jc w:val="both"/>
      </w:pPr>
      <w:r>
        <w:rPr>
          <w:rFonts w:ascii="Calibri" w:cs="Calibri" w:eastAsia="Calibri" w:hAnsi="Calibri"/>
          <w:sz w:val="19"/>
          <w:szCs w:val="19"/>
        </w:rPr>
        <w:t xml:space="preserve">A loan from an owner to the company, or between group entities, must be on arm’s length terms for corporate tax purposes, with documentation and an arm’s length interest rate. Interest-free shareholder loans are the most common informal arrangement and among the most commonly adjusted.</w:t>
      </w:r>
    </w:p>
    <w:p>
      <w:pPr>
        <w:keepNext/>
        <w:spacing w:after="40" w:before="140"/>
      </w:pPr>
      <w:r>
        <w:rPr>
          <w:rFonts w:ascii="Calibri" w:cs="Calibri" w:eastAsia="Calibri" w:hAnsi="Calibri"/>
          <w:b/>
          <w:bCs/>
          <w:color w:val="14161B"/>
          <w:sz w:val="20"/>
          <w:szCs w:val="20"/>
        </w:rPr>
        <w:t xml:space="preserve">Register the security or lose it</w:t>
      </w:r>
    </w:p>
    <w:p>
      <w:pPr>
        <w:spacing w:after="60" w:line="264"/>
        <w:jc w:val="both"/>
      </w:pPr>
      <w:r>
        <w:rPr>
          <w:rFonts w:ascii="Calibri" w:cs="Calibri" w:eastAsia="Calibri" w:hAnsi="Calibri"/>
          <w:sz w:val="19"/>
          <w:szCs w:val="19"/>
        </w:rPr>
        <w:t xml:space="preserve">A registrable security interest that is not registered within the required period may be ineffective against a liquidator or a third party — the debt survives but the security does not. Confirm the applicable register and deadline for the specific asset class, and agree in writing who is responsible for filing.</w:t>
      </w:r>
    </w:p>
    <w:p>
      <w:pPr>
        <w:keepNext/>
        <w:spacing w:after="40" w:before="140"/>
      </w:pPr>
      <w:r>
        <w:rPr>
          <w:rFonts w:ascii="Calibri" w:cs="Calibri" w:eastAsia="Calibri" w:hAnsi="Calibri"/>
          <w:b/>
          <w:bCs/>
          <w:color w:val="14161B"/>
          <w:sz w:val="20"/>
          <w:szCs w:val="20"/>
        </w:rPr>
        <w:t xml:space="preserve">Interest needs care, and compounding more so</w:t>
      </w:r>
    </w:p>
    <w:p>
      <w:pPr>
        <w:spacing w:after="60" w:line="264"/>
        <w:jc w:val="both"/>
      </w:pPr>
      <w:r>
        <w:rPr>
          <w:rFonts w:ascii="Calibri" w:cs="Calibri" w:eastAsia="Calibri" w:hAnsi="Calibri"/>
          <w:sz w:val="19"/>
          <w:szCs w:val="19"/>
        </w:rPr>
        <w:t xml:space="preserve">The treatment of interest differs between onshore and the financial free zones, and compounding is treated restrictively onshore. Draft simple interest unless advised otherwise, and be aware that a court may award less than the contract provides regardless of what was agreed.</w:t>
      </w:r>
    </w:p>
    <w:p>
      <w:pPr>
        <w:keepNext/>
        <w:spacing w:after="40" w:before="140"/>
      </w:pPr>
      <w:r>
        <w:rPr>
          <w:rFonts w:ascii="Calibri" w:cs="Calibri" w:eastAsia="Calibri" w:hAnsi="Calibri"/>
          <w:b/>
          <w:bCs/>
          <w:color w:val="14161B"/>
          <w:sz w:val="20"/>
          <w:szCs w:val="20"/>
        </w:rPr>
        <w:t xml:space="preserve">Keep default interest modest</w:t>
      </w:r>
    </w:p>
    <w:p>
      <w:pPr>
        <w:spacing w:after="60" w:line="264"/>
        <w:jc w:val="both"/>
      </w:pPr>
      <w:r>
        <w:rPr>
          <w:rFonts w:ascii="Calibri" w:cs="Calibri" w:eastAsia="Calibri" w:hAnsi="Calibri"/>
          <w:sz w:val="19"/>
          <w:szCs w:val="19"/>
        </w:rPr>
        <w:t xml:space="preserve">A punitive default rate risks being reduced or set aside, leaving the lender with less than a moderate rate would have delivered. Two to four per cent above the contract rate is defensible; doubling it invites the whole provision to be examined.</w:t>
      </w:r>
    </w:p>
    <w:p>
      <w:pPr>
        <w:keepNext/>
        <w:spacing w:after="40" w:before="140"/>
      </w:pPr>
      <w:r>
        <w:rPr>
          <w:rFonts w:ascii="Calibri" w:cs="Calibri" w:eastAsia="Calibri" w:hAnsi="Calibri"/>
          <w:b/>
          <w:bCs/>
          <w:color w:val="14161B"/>
          <w:sz w:val="20"/>
          <w:szCs w:val="20"/>
        </w:rPr>
        <w:t xml:space="preserve">Cheques as security need a written record</w:t>
      </w:r>
    </w:p>
    <w:p>
      <w:pPr>
        <w:spacing w:after="60" w:line="264"/>
        <w:jc w:val="both"/>
      </w:pPr>
      <w:r>
        <w:rPr>
          <w:rFonts w:ascii="Calibri" w:cs="Calibri" w:eastAsia="Calibri" w:hAnsi="Calibri"/>
          <w:sz w:val="19"/>
          <w:szCs w:val="19"/>
        </w:rPr>
        <w:t xml:space="preserve">Where the borrower gives cheques, record the number, amount, date and what each secures, and require return with written confirmation on repayment. The treatment of dishonoured cheques changed materially in 2022 — confirm the current enforcement position rather than relying on older assumptions.</w:t>
      </w:r>
    </w:p>
    <w:p>
      <w:pPr>
        <w:keepNext/>
        <w:spacing w:after="40" w:before="140"/>
      </w:pPr>
      <w:r>
        <w:rPr>
          <w:rFonts w:ascii="Calibri" w:cs="Calibri" w:eastAsia="Calibri" w:hAnsi="Calibri"/>
          <w:b/>
          <w:bCs/>
          <w:color w:val="14161B"/>
          <w:sz w:val="20"/>
          <w:szCs w:val="20"/>
        </w:rPr>
        <w:t xml:space="preserve">Check the negative pledge before taking security</w:t>
      </w:r>
    </w:p>
    <w:p>
      <w:pPr>
        <w:spacing w:after="60" w:line="264"/>
        <w:jc w:val="both"/>
      </w:pPr>
      <w:r>
        <w:rPr>
          <w:rFonts w:ascii="Calibri" w:cs="Calibri" w:eastAsia="Calibri" w:hAnsi="Calibri"/>
          <w:sz w:val="19"/>
          <w:szCs w:val="19"/>
        </w:rPr>
        <w:t xml:space="preserve">Existing facilities frequently prohibit granting further security. Doing so triggers default under that facility, and cross-default provisions then cascade. Check what the borrower has already agreed before structuring the security.</w:t>
      </w:r>
    </w:p>
    <w:p>
      <w:pPr>
        <w:keepNext/>
        <w:spacing w:after="40" w:before="140"/>
      </w:pPr>
      <w:r>
        <w:rPr>
          <w:rFonts w:ascii="Calibri" w:cs="Calibri" w:eastAsia="Calibri" w:hAnsi="Calibri"/>
          <w:b/>
          <w:bCs/>
          <w:color w:val="14161B"/>
          <w:sz w:val="20"/>
          <w:szCs w:val="20"/>
        </w:rPr>
        <w:t xml:space="preserve">Loans to directors are restricted</w:t>
      </w:r>
    </w:p>
    <w:p>
      <w:pPr>
        <w:spacing w:after="60" w:line="264"/>
        <w:jc w:val="both"/>
      </w:pPr>
      <w:r>
        <w:rPr>
          <w:rFonts w:ascii="Calibri" w:cs="Calibri" w:eastAsia="Calibri" w:hAnsi="Calibri"/>
          <w:sz w:val="19"/>
          <w:szCs w:val="19"/>
        </w:rPr>
        <w:t xml:space="preserve">Restrictions may apply to loans to directors and connected persons. Owner-managed companies run director current accounts without appreciating this. Where the lender or borrower is connected to a director, take advice and record the interest declaration.</w:t>
      </w:r>
    </w:p>
    <w:p>
      <w:pPr>
        <w:keepNext/>
        <w:spacing w:after="40" w:before="140"/>
      </w:pPr>
      <w:r>
        <w:rPr>
          <w:rFonts w:ascii="Calibri" w:cs="Calibri" w:eastAsia="Calibri" w:hAnsi="Calibri"/>
          <w:b/>
          <w:bCs/>
          <w:color w:val="14161B"/>
          <w:sz w:val="20"/>
          <w:szCs w:val="20"/>
        </w:rPr>
        <w:t xml:space="preserve">Solvency is a real question for the borrower’s managers</w:t>
      </w:r>
    </w:p>
    <w:p>
      <w:pPr>
        <w:spacing w:after="60" w:line="264"/>
        <w:jc w:val="both"/>
      </w:pPr>
      <w:r>
        <w:rPr>
          <w:rFonts w:ascii="Calibri" w:cs="Calibri" w:eastAsia="Calibri" w:hAnsi="Calibri"/>
          <w:sz w:val="19"/>
          <w:szCs w:val="19"/>
        </w:rPr>
        <w:t xml:space="preserve">Managers who allow a company to borrow when they know or ought to know it cannot repay face personal exposure. Prepare and retain the cash flow projection with the resolution, not afterwards.</w:t>
      </w:r>
    </w:p>
    <w:p>
      <w:pPr>
        <w:keepNext/>
        <w:spacing w:after="40" w:before="140"/>
      </w:pPr>
      <w:r>
        <w:rPr>
          <w:rFonts w:ascii="Calibri" w:cs="Calibri" w:eastAsia="Calibri" w:hAnsi="Calibri"/>
          <w:b/>
          <w:bCs/>
          <w:color w:val="14161B"/>
          <w:sz w:val="20"/>
          <w:szCs w:val="20"/>
        </w:rPr>
        <w:t xml:space="preserve">Guarantors need independent advice</w:t>
      </w:r>
    </w:p>
    <w:p>
      <w:pPr>
        <w:spacing w:after="60" w:line="264"/>
        <w:jc w:val="both"/>
      </w:pPr>
      <w:r>
        <w:rPr>
          <w:rFonts w:ascii="Calibri" w:cs="Calibri" w:eastAsia="Calibri" w:hAnsi="Calibri"/>
          <w:sz w:val="19"/>
          <w:szCs w:val="19"/>
        </w:rPr>
        <w:t xml:space="preserve">A guarantee, particularly a personal one, is materially more robust where the guarantor took independent legal advice and that is evidenced. Without it, arguments about misunderstanding and pressure become available.</w:t>
      </w:r>
    </w:p>
    <w:p>
      <w:pPr>
        <w:keepNext/>
        <w:spacing w:after="40" w:before="140"/>
      </w:pPr>
      <w:r>
        <w:rPr>
          <w:rFonts w:ascii="Calibri" w:cs="Calibri" w:eastAsia="Calibri" w:hAnsi="Calibri"/>
          <w:b/>
          <w:bCs/>
          <w:color w:val="14161B"/>
          <w:sz w:val="20"/>
          <w:szCs w:val="20"/>
        </w:rPr>
        <w:t xml:space="preserve">Withholding on interest to non-residents</w:t>
      </w:r>
    </w:p>
    <w:p>
      <w:pPr>
        <w:spacing w:after="60" w:line="264"/>
        <w:jc w:val="both"/>
      </w:pPr>
      <w:r>
        <w:rPr>
          <w:rFonts w:ascii="Calibri" w:cs="Calibri" w:eastAsia="Calibri" w:hAnsi="Calibri"/>
          <w:sz w:val="19"/>
          <w:szCs w:val="19"/>
        </w:rPr>
        <w:t xml:space="preserve">Where the lender is outside the UAE, confirm whether any withholding applies and settle the gross-up position in the agreement. Silence means it is discovered at the first payment, usually by the lender receiving less than expected.</w:t>
      </w:r>
    </w:p>
    <w:p>
      <w:pPr>
        <w:keepNext/>
        <w:spacing w:after="40" w:before="140"/>
      </w:pPr>
      <w:r>
        <w:rPr>
          <w:rFonts w:ascii="Calibri" w:cs="Calibri" w:eastAsia="Calibri" w:hAnsi="Calibri"/>
          <w:b/>
          <w:bCs/>
          <w:color w:val="14161B"/>
          <w:sz w:val="20"/>
          <w:szCs w:val="20"/>
        </w:rPr>
        <w:t xml:space="preserve">Application of payments matters on default</w:t>
      </w:r>
    </w:p>
    <w:p>
      <w:pPr>
        <w:spacing w:after="60" w:line="264"/>
        <w:jc w:val="both"/>
      </w:pPr>
      <w:r>
        <w:rPr>
          <w:rFonts w:ascii="Calibri" w:cs="Calibri" w:eastAsia="Calibri" w:hAnsi="Calibri"/>
          <w:sz w:val="19"/>
          <w:szCs w:val="19"/>
        </w:rPr>
        <w:t xml:space="preserve">Clause 5.4 applies payments to costs and interest before principal. On a distressed loan this determines how quickly principal reduces, and borrowers frequently assume the opposite order.</w:t>
      </w:r>
    </w:p>
    <w:p>
      <w:pPr>
        <w:keepNext/>
        <w:spacing w:after="40" w:before="140"/>
      </w:pPr>
      <w:r>
        <w:rPr>
          <w:rFonts w:ascii="Calibri" w:cs="Calibri" w:eastAsia="Calibri" w:hAnsi="Calibri"/>
          <w:b/>
          <w:bCs/>
          <w:color w:val="14161B"/>
          <w:sz w:val="20"/>
          <w:szCs w:val="20"/>
        </w:rPr>
        <w:t xml:space="preserve">Release the security on repayment</w:t>
      </w:r>
    </w:p>
    <w:p>
      <w:pPr>
        <w:spacing w:after="60" w:line="264"/>
        <w:jc w:val="both"/>
      </w:pPr>
      <w:r>
        <w:rPr>
          <w:rFonts w:ascii="Calibri" w:cs="Calibri" w:eastAsia="Calibri" w:hAnsi="Calibri"/>
          <w:sz w:val="19"/>
          <w:szCs w:val="19"/>
        </w:rPr>
        <w:t xml:space="preserve">An undischarged security interest on a public register obstructs the borrower’s future borrowing and appears in every diligence exercise. Clause 6.6 obliges the lender to file the discharge; borrowers should chase it.</w:t>
      </w:r>
    </w:p>
    <w:p>
      <w:pPr>
        <w:keepNext/>
        <w:spacing w:after="40" w:before="140"/>
      </w:pPr>
      <w:r>
        <w:rPr>
          <w:rFonts w:ascii="Calibri" w:cs="Calibri" w:eastAsia="Calibri" w:hAnsi="Calibri"/>
          <w:b/>
          <w:bCs/>
          <w:color w:val="14161B"/>
          <w:sz w:val="20"/>
          <w:szCs w:val="20"/>
        </w:rPr>
        <w:t xml:space="preserve">Arabic prevails onshore</w:t>
      </w:r>
    </w:p>
    <w:p>
      <w:pPr>
        <w:spacing w:after="60" w:line="264"/>
        <w:jc w:val="both"/>
      </w:pPr>
      <w:r>
        <w:rPr>
          <w:rFonts w:ascii="Calibri" w:cs="Calibri" w:eastAsia="Calibri" w:hAnsi="Calibri"/>
          <w:sz w:val="19"/>
          <w:szCs w:val="19"/>
        </w:rPr>
        <w:t xml:space="preserve">Where the agreement exists in both languages and the forum is an onshore court, the Arabic governs. For a material loan, use a bilingual version prepared by a qualified legal translator rather than relying on an English-only document.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treatment of interest and compounding, security registration requirements and registers, restrictions on loans to directors, transfer pricing rules, withholding tax and the enforcement of dishonoured cheques all change and differ between onshore, DIFC and ADGM — take UAE legal and tax advice before lending or borrowing any material amount.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2026-08-23T16:28:35.720Z</dcterms:created>
  <dcterms:modified xsi:type="dcterms:W3CDTF">2026-08-23T16:28:35.720Z</dcterms:modified>
</cp:coreProperties>
</file>

<file path=docProps/custom.xml><?xml version="1.0" encoding="utf-8"?>
<Properties xmlns="http://schemas.openxmlformats.org/officeDocument/2006/custom-properties" xmlns:vt="http://schemas.openxmlformats.org/officeDocument/2006/docPropsVTypes"/>
</file>