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LICENCE RENEWAL AND CORPORATE MAINTENANCE</w:t>
      </w:r>
    </w:p>
    <w:p>
      <w:pPr>
        <w:spacing w:after="260"/>
        <w:jc w:val="center"/>
      </w:pPr>
      <w:r>
        <w:rPr>
          <w:rFonts w:ascii="Calibri" w:cs="Calibri" w:eastAsia="Calibri" w:hAnsi="Calibri"/>
          <w:i/>
          <w:iCs/>
          <w:color w:val="6E7480"/>
          <w:sz w:val="19"/>
          <w:szCs w:val="19"/>
        </w:rPr>
        <w:t xml:space="preserve">Keeping the entity in good standing</w:t>
      </w:r>
    </w:p>
    <w:p>
      <w:pPr>
        <w:spacing w:after="180" w:before="0" w:line="276"/>
        <w:jc w:val="both"/>
      </w:pPr>
      <w:r>
        <w:rPr>
          <w:rFonts w:ascii="Calibri" w:cs="Calibri" w:eastAsia="Calibri" w:hAnsi="Calibri"/>
          <w:i/>
          <w:iCs/>
          <w:color w:val="6E7480"/>
          <w:sz w:val="21"/>
          <w:szCs w:val="21"/>
        </w:rPr>
        <w:t xml:space="preserve">Renewal is not one transaction, it is a </w:t>
      </w:r>
      <w:r>
        <w:rPr>
          <w:rFonts w:ascii="Calibri" w:cs="Calibri" w:eastAsia="Calibri" w:hAnsi="Calibri"/>
          <w:b/>
          <w:bCs/>
          <w:i/>
          <w:iCs/>
          <w:color w:val="6E7480"/>
          <w:sz w:val="21"/>
          <w:szCs w:val="21"/>
        </w:rPr>
        <w:t xml:space="preserve">chain</w:t>
      </w:r>
      <w:r>
        <w:rPr>
          <w:rFonts w:ascii="Calibri" w:cs="Calibri" w:eastAsia="Calibri" w:hAnsi="Calibri"/>
          <w:i/>
          <w:iCs/>
          <w:color w:val="6E7480"/>
          <w:sz w:val="21"/>
          <w:szCs w:val="21"/>
        </w:rPr>
        <w:t xml:space="preserve">. The tenancy must be current and registered before the licence renews; the licence must be current before the establishment card renews; the card must be current before any visa transaction. Break the chain early and the failure surfaces three steps later as an inability to hire.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662"/>
        <w:gridCol w:w="5976"/>
      </w:tblGrid>
      <w:tr>
        <w:trPr>
          <w:cantSplit/>
          <w:tblHeader/>
        </w:trPr>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9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Entity</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licence </w:t>
            </w:r>
            <w:r>
              <w:rPr>
                <w:rFonts w:ascii="Calibri" w:cs="Calibri" w:eastAsia="Calibri" w:hAnsi="Calibri"/>
                <w:b/>
                <w:bCs/>
                <w:sz w:val="19"/>
                <w:szCs w:val="19"/>
              </w:rPr>
              <w:t xml:space="preserve">[NUMBER]</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Authority</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[DED / DET / Free zone]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Licence expiry</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Tenancy expiry</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 </w:t>
            </w:r>
            <w:r>
              <w:rPr>
                <w:rFonts w:ascii="Calibri" w:cs="Calibri" w:eastAsia="Calibri" w:hAnsi="Calibri"/>
                <w:i/>
                <w:iCs/>
                <w:sz w:val="19"/>
                <w:szCs w:val="19"/>
              </w:rPr>
              <w:t xml:space="preserve">must be renewed first</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Registration (Ejari / Tawtheeq) expiry</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Establishment card expiry</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Immigration file expiry</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Chamber of Commerce membership</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Sector licences</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[LIST WITH EXPIRIES]</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Owner</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[DESIGNATION]</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Reminder set</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 six months before expiry</w:t>
            </w:r>
          </w:p>
        </w:tc>
      </w:tr>
    </w:tbl>
    <w:p>
      <w:pPr>
        <w:spacing w:after="180"/>
      </w:pPr>
    </w:p>
    <w:p>
      <w:pPr>
        <w:keepNext/>
        <w:spacing w:after="120" w:before="280"/>
        <w:outlineLvl w:val="0"/>
      </w:pPr>
      <w:r>
        <w:rPr>
          <w:rFonts w:ascii="Calibri" w:cs="Calibri" w:eastAsia="Calibri" w:hAnsi="Calibri"/>
          <w:b/>
          <w:bCs/>
          <w:color w:val="14161B"/>
          <w:sz w:val="22"/>
          <w:szCs w:val="22"/>
        </w:rPr>
        <w:t xml:space="preserve">1. THE CHAIN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771"/>
        <w:gridCol w:w="3276"/>
        <w:gridCol w:w="2698"/>
        <w:gridCol w:w="2893"/>
      </w:tblGrid>
      <w:tr>
        <w:trPr>
          <w:cantSplit/>
          <w:tblHeader/>
        </w:trPr>
        <w:tc>
          <w:tcPr>
            <w:tcW w:type="dxa" w:w="77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Order</w:t>
            </w:r>
          </w:p>
        </w:tc>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Item</w:t>
            </w:r>
          </w:p>
        </w:tc>
        <w:tc>
          <w:tcPr>
            <w:tcW w:type="dxa" w:w="26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Depends on</w:t>
            </w:r>
          </w:p>
        </w:tc>
        <w:tc>
          <w:tcPr>
            <w:tcW w:type="dxa" w:w="289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Blocks if lapsed</w:t>
            </w:r>
          </w:p>
        </w:tc>
      </w:tr>
      <w:tr>
        <w:trPr>
          <w:cantSplit/>
        </w:trPr>
        <w:tc>
          <w:tcPr>
            <w:tcW w:type="dxa" w:w="7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Tenancy renewed</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Registration, then the licence</w:t>
            </w:r>
          </w:p>
        </w:tc>
      </w:tr>
      <w:tr>
        <w:trPr>
          <w:cantSplit/>
        </w:trPr>
        <w:tc>
          <w:tcPr>
            <w:tcW w:type="dxa" w:w="7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Tenancy registered</w:t>
            </w:r>
            <w:r>
              <w:rPr>
                <w:rFonts w:ascii="Calibri" w:cs="Calibri" w:eastAsia="Calibri" w:hAnsi="Calibri"/>
                <w:sz w:val="18"/>
                <w:szCs w:val="18"/>
              </w:rPr>
              <w:t xml:space="preserve"> (Ejari / Tawtheeq)</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Tenancy</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Licence renewal</w:t>
            </w:r>
          </w:p>
        </w:tc>
      </w:tr>
      <w:tr>
        <w:trPr>
          <w:cantSplit/>
        </w:trPr>
        <w:tc>
          <w:tcPr>
            <w:tcW w:type="dxa" w:w="7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Trade licence renewed</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Registration; fees; approvals</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Everything below</w:t>
            </w:r>
          </w:p>
        </w:tc>
      </w:tr>
      <w:tr>
        <w:trPr>
          <w:cantSplit/>
        </w:trPr>
        <w:tc>
          <w:tcPr>
            <w:tcW w:type="dxa" w:w="7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Chamber of Commerce membership</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Licence</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[Some transactions]</w:t>
            </w:r>
          </w:p>
        </w:tc>
      </w:tr>
      <w:tr>
        <w:trPr>
          <w:cantSplit/>
        </w:trPr>
        <w:tc>
          <w:tcPr>
            <w:tcW w:type="dxa" w:w="7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Establishment card renewed</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Licence</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All work permit transactions</w:t>
            </w:r>
          </w:p>
        </w:tc>
      </w:tr>
      <w:tr>
        <w:trPr>
          <w:cantSplit/>
        </w:trPr>
        <w:tc>
          <w:tcPr>
            <w:tcW w:type="dxa" w:w="7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Immigration file current</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Establishment card</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Visa transactions</w:t>
            </w:r>
          </w:p>
        </w:tc>
      </w:tr>
      <w:tr>
        <w:trPr>
          <w:cantSplit/>
        </w:trPr>
        <w:tc>
          <w:tcPr>
            <w:tcW w:type="dxa" w:w="7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Visa quota confirmed</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Licence; premises</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Hiring</w:t>
            </w:r>
          </w:p>
        </w:tc>
      </w:tr>
      <w:tr>
        <w:trPr>
          <w:cantSplit/>
        </w:trPr>
        <w:tc>
          <w:tcPr>
            <w:tcW w:type="dxa" w:w="7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Work permits and visas renewed</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All of the above</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Employees’ lawful status</w:t>
            </w:r>
          </w:p>
        </w:tc>
      </w:tr>
      <w:tr>
        <w:trPr>
          <w:cantSplit/>
        </w:trPr>
        <w:tc>
          <w:tcPr>
            <w:tcW w:type="dxa" w:w="7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Sector licences renewed</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Trade licence</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Lawful operation of the activity</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i/>
          <w:iCs/>
          <w:sz w:val="21"/>
          <w:szCs w:val="21"/>
        </w:rPr>
        <w:t xml:space="preserve">The chain is why a six-month reminder matters. A tenancy renewal negotiated in the final month, or a landlord slow to provide documents, cascades into visa renewals that cannot be processed.</w:t>
      </w:r>
    </w:p>
    <w:p>
      <w:pPr>
        <w:keepNext/>
        <w:spacing w:after="120" w:before="280"/>
        <w:outlineLvl w:val="0"/>
      </w:pPr>
      <w:r>
        <w:rPr>
          <w:rFonts w:ascii="Calibri" w:cs="Calibri" w:eastAsia="Calibri" w:hAnsi="Calibri"/>
          <w:b/>
          <w:bCs/>
          <w:color w:val="14161B"/>
          <w:sz w:val="22"/>
          <w:szCs w:val="22"/>
        </w:rPr>
        <w:t xml:space="preserve">2. RENEWAL CHECKLIST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5011"/>
        <w:gridCol w:w="2505"/>
        <w:gridCol w:w="1737"/>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501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Step</w:t>
            </w:r>
          </w:p>
        </w:tc>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Lead time</w:t>
            </w:r>
          </w:p>
        </w:tc>
        <w:tc>
          <w:tcPr>
            <w:tcW w:type="dxa" w:w="173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Done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Reminder fires</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6 months before</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Decide whether to renew the tenancy or relocate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 months</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Tenancy renewed or new premises secured</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3–4 months</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Tenancy registered</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Immediately after</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Check licensed activities still match what the business does</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 months</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Sector approvals renewed where required</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 months</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Any pending fines or violations cleared</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 months</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UBO register confirmed current</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 months</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Manager and shareholder details confirmed correct</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 months</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Licence renewal submitted and fees paid</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 month</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Establishment card renewed</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After the licence</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12</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Visa quota reconfirmed against headcount plans</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After renewal</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13</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Bank notified of the renewed licence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After renewal</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14</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Renewed documents filed and next reminders set</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 completion</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bl>
    <w:p>
      <w:pPr>
        <w:spacing w:after="140"/>
      </w:pP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i/>
          <w:iCs/>
          <w:sz w:val="21"/>
          <w:szCs w:val="21"/>
        </w:rPr>
        <w:t xml:space="preserve">Step 7 catches people. Outstanding fines — labour, municipality, traffic attached to company vehicles — can block a renewal. Check early, not at submission.</w:t>
      </w:r>
    </w:p>
    <w:p>
      <w:pPr>
        <w:keepNext/>
        <w:spacing w:after="120" w:before="280"/>
        <w:outlineLvl w:val="0"/>
      </w:pPr>
      <w:r>
        <w:rPr>
          <w:rFonts w:ascii="Calibri" w:cs="Calibri" w:eastAsia="Calibri" w:hAnsi="Calibri"/>
          <w:b/>
          <w:bCs/>
          <w:color w:val="14161B"/>
          <w:sz w:val="22"/>
          <w:szCs w:val="22"/>
        </w:rPr>
        <w:t xml:space="preserve">3. CHANGES THAT NEED FILING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4819"/>
        <w:gridCol w:w="1928"/>
      </w:tblGrid>
      <w:tr>
        <w:trPr>
          <w:cantSplit/>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Change</w:t>
            </w:r>
          </w:p>
        </w:tc>
        <w:tc>
          <w:tcPr>
            <w:tcW w:type="dxa" w:w="481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Filing</w:t>
            </w:r>
          </w:p>
        </w:tc>
        <w:tc>
          <w:tcPr>
            <w:tcW w:type="dxa" w:w="192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Notarised?</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Registered address</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Licence amendment; new tenancy and registration</w:t>
            </w:r>
          </w:p>
        </w:tc>
        <w:tc>
          <w:tcPr>
            <w:tcW w:type="dxa" w:w="192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[Usually]</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Activities added or removed</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Licence amendment; possible sector approval; </w:t>
            </w:r>
            <w:r>
              <w:rPr>
                <w:rFonts w:ascii="Calibri" w:cs="Calibri" w:eastAsia="Calibri" w:hAnsi="Calibri"/>
                <w:b/>
                <w:bCs/>
                <w:sz w:val="18"/>
                <w:szCs w:val="18"/>
              </w:rPr>
              <w:t xml:space="preserve">MOA amendment</w:t>
            </w:r>
          </w:p>
        </w:tc>
        <w:tc>
          <w:tcPr>
            <w:tcW w:type="dxa" w:w="192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Manager change</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Licence amendment; MOA amendment</w:t>
            </w:r>
          </w:p>
        </w:tc>
        <w:tc>
          <w:tcPr>
            <w:tcW w:type="dxa" w:w="192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Shareholding change</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Licence amendment; MOA amendment; </w:t>
            </w:r>
            <w:r>
              <w:rPr>
                <w:rFonts w:ascii="Calibri" w:cs="Calibri" w:eastAsia="Calibri" w:hAnsi="Calibri"/>
                <w:b/>
                <w:bCs/>
                <w:sz w:val="18"/>
                <w:szCs w:val="18"/>
              </w:rPr>
              <w:t xml:space="preserve">UBO update</w:t>
            </w:r>
          </w:p>
        </w:tc>
        <w:tc>
          <w:tcPr>
            <w:tcW w:type="dxa" w:w="192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Company name</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Name reservation; licence amendment; MOA amendment</w:t>
            </w:r>
          </w:p>
        </w:tc>
        <w:tc>
          <w:tcPr>
            <w:tcW w:type="dxa" w:w="192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Share capital</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MOA amendment; licence amendment</w:t>
            </w:r>
          </w:p>
        </w:tc>
        <w:tc>
          <w:tcPr>
            <w:tcW w:type="dxa" w:w="192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Contact details</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Update with the authority</w:t>
            </w:r>
          </w:p>
        </w:tc>
        <w:tc>
          <w:tcPr>
            <w:tcW w:type="dxa" w:w="192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Beneficial ownership</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UBO register and central filing</w:t>
            </w:r>
          </w:p>
        </w:tc>
        <w:tc>
          <w:tcPr>
            <w:tcW w:type="dxa" w:w="192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Bank signatories</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Bank mandate</w:t>
            </w:r>
          </w:p>
        </w:tc>
        <w:tc>
          <w:tcPr>
            <w:tcW w:type="dxa" w:w="192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Sector licence conditions</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Relevant regulator</w:t>
            </w:r>
          </w:p>
        </w:tc>
        <w:tc>
          <w:tcPr>
            <w:tcW w:type="dxa" w:w="192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[Depends]</w:t>
            </w:r>
          </w:p>
        </w:tc>
      </w:tr>
    </w:tbl>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CORPORATE RECORDS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9"/>
        <w:gridCol w:w="3084"/>
        <w:gridCol w:w="1735"/>
      </w:tblGrid>
      <w:tr>
        <w:trPr>
          <w:cantSplit/>
          <w:tblHeader/>
        </w:trPr>
        <w:tc>
          <w:tcPr>
            <w:tcW w:type="dxa" w:w="481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Record</w:t>
            </w:r>
          </w:p>
        </w:tc>
        <w:tc>
          <w:tcPr>
            <w:tcW w:type="dxa" w:w="308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Retain</w:t>
            </w:r>
          </w:p>
        </w:tc>
        <w:tc>
          <w:tcPr>
            <w:tcW w:type="dxa" w:w="173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Held</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Trade licence — current and all prior</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Permanently</w:t>
            </w:r>
          </w:p>
        </w:tc>
        <w:tc>
          <w:tcPr>
            <w:tcW w:type="dxa" w:w="173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Notarised MOA and every amendment</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Permanently</w:t>
            </w:r>
          </w:p>
        </w:tc>
        <w:tc>
          <w:tcPr>
            <w:tcW w:type="dxa" w:w="173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Certificate of incorporation or registration</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Permanently</w:t>
            </w:r>
          </w:p>
        </w:tc>
        <w:tc>
          <w:tcPr>
            <w:tcW w:type="dxa" w:w="173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Establishment card and immigration file</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Current plus history</w:t>
            </w:r>
          </w:p>
        </w:tc>
        <w:tc>
          <w:tcPr>
            <w:tcW w:type="dxa" w:w="173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Tenancy contracts and registrations</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Current plus history</w:t>
            </w:r>
          </w:p>
        </w:tc>
        <w:tc>
          <w:tcPr>
            <w:tcW w:type="dxa" w:w="173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Shareholder register and share transfers</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Permanently</w:t>
            </w:r>
          </w:p>
        </w:tc>
        <w:tc>
          <w:tcPr>
            <w:tcW w:type="dxa" w:w="173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Resolutions and minutes, in sequence</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Permanently</w:t>
            </w:r>
          </w:p>
        </w:tc>
        <w:tc>
          <w:tcPr>
            <w:tcW w:type="dxa" w:w="173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UBO register and filings</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Current plus history</w:t>
            </w:r>
          </w:p>
        </w:tc>
        <w:tc>
          <w:tcPr>
            <w:tcW w:type="dxa" w:w="173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Powers of attorney granted and revoked</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Current plus history</w:t>
            </w:r>
          </w:p>
        </w:tc>
        <w:tc>
          <w:tcPr>
            <w:tcW w:type="dxa" w:w="173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Sector licences and approvals</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Current plus history</w:t>
            </w:r>
          </w:p>
        </w:tc>
        <w:tc>
          <w:tcPr>
            <w:tcW w:type="dxa" w:w="173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Corporate tax and VAT registrations and returns</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Seven years</w:t>
            </w:r>
          </w:p>
        </w:tc>
        <w:tc>
          <w:tcPr>
            <w:tcW w:type="dxa" w:w="173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Accounting records and financial statements</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Seven years</w:t>
            </w:r>
          </w:p>
        </w:tc>
        <w:tc>
          <w:tcPr>
            <w:tcW w:type="dxa" w:w="173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Insurance policies</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Current plus history</w:t>
            </w:r>
          </w:p>
        </w:tc>
        <w:tc>
          <w:tcPr>
            <w:tcW w:type="dxa" w:w="173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Employment records</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 the statutory period</w:t>
            </w:r>
          </w:p>
        </w:tc>
        <w:tc>
          <w:tcPr>
            <w:tcW w:type="dxa" w:w="173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bl>
    <w:p>
      <w:pPr>
        <w:spacing w:after="160"/>
      </w:pPr>
    </w:p>
    <w:p>
      <w:pPr>
        <w:keepNext/>
        <w:spacing w:after="120" w:before="280"/>
        <w:outlineLvl w:val="0"/>
      </w:pPr>
      <w:r>
        <w:rPr>
          <w:rFonts w:ascii="Calibri" w:cs="Calibri" w:eastAsia="Calibri" w:hAnsi="Calibri"/>
          <w:b/>
          <w:bCs/>
          <w:color w:val="14161B"/>
          <w:sz w:val="22"/>
          <w:szCs w:val="22"/>
        </w:rPr>
        <w:t xml:space="preserve">5. DORMANCY, CLOSURE AND REDOMICILIATION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698"/>
        <w:gridCol w:w="6940"/>
      </w:tblGrid>
      <w:tr>
        <w:trPr>
          <w:cantSplit/>
          <w:tblHeader/>
        </w:trPr>
        <w:tc>
          <w:tcPr>
            <w:tcW w:type="dxa" w:w="26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Situation</w:t>
            </w:r>
          </w:p>
        </w:tc>
        <w:tc>
          <w:tcPr>
            <w:tcW w:type="dxa" w:w="69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Position</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Ceasing to trade but keeping the entity</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licence must still be renewed and obligations continue — corporate tax filing, UBO, records. </w:t>
            </w:r>
            <w:r>
              <w:rPr>
                <w:rFonts w:ascii="Calibri" w:cs="Calibri" w:eastAsia="Calibri" w:hAnsi="Calibri"/>
                <w:b/>
                <w:bCs/>
                <w:sz w:val="18"/>
                <w:szCs w:val="18"/>
              </w:rPr>
              <w:t xml:space="preserve">Dormancy is not a compliance holiday</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Letting the licence lapse</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Does not dissolve the company. Fines accrue, employees’ visas become invalid, and reinstatement costs more than renewal</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Proper closure</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Settle employees within 14 days, cancel permits and visas, clear liabilities, deregister for tax, obtain clearances, cancel the licence formally</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Redomiciliation</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Transfer of registration between authorities, including mainland and free zone, is now available under the amended Commercial Companies Law — a process with approvals, not a switch</w:t>
            </w:r>
          </w:p>
        </w:tc>
      </w:tr>
      <w:tr>
        <w:trPr>
          <w:cantSplit/>
        </w:trP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Striking off</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Follows the authority’s process; unresolved liabilities and unfiled returns obstruct it</w:t>
            </w:r>
          </w:p>
        </w:tc>
      </w:tr>
    </w:tbl>
    <w:p>
      <w:pPr>
        <w:spacing w:after="140"/>
      </w:pP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b/>
          <w:bCs/>
          <w:sz w:val="21"/>
          <w:szCs w:val="21"/>
        </w:rPr>
        <w:t xml:space="preserve">Abandoning a licence is the most expensive way to close a company.</w:t>
      </w:r>
      <w:r>
        <w:rPr>
          <w:rFonts w:ascii="Calibri" w:cs="Calibri" w:eastAsia="Calibri" w:hAnsi="Calibri"/>
          <w:sz w:val="21"/>
          <w:szCs w:val="21"/>
        </w:rPr>
        <w:t xml:space="preserve"> Employees are left with invalid visas, fines accrue against the entity and sometimes its managers, and a later attempt to open anything else meets the outstanding record.</w:t>
      </w:r>
    </w:p>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Renewal is a chain, not a transaction</w:t>
      </w:r>
    </w:p>
    <w:p>
      <w:pPr>
        <w:spacing w:after="60" w:line="264"/>
        <w:jc w:val="both"/>
      </w:pPr>
      <w:r>
        <w:rPr>
          <w:rFonts w:ascii="Calibri" w:cs="Calibri" w:eastAsia="Calibri" w:hAnsi="Calibri"/>
          <w:sz w:val="19"/>
          <w:szCs w:val="19"/>
        </w:rPr>
        <w:t xml:space="preserve">Tenancy, then registration, then licence, then establishment card, then visa transactions. A delay at the first step surfaces three steps later as an inability to renew an employee’s visa. Understanding the order is what makes the six-month reminder worth setting.</w:t>
      </w:r>
    </w:p>
    <w:p>
      <w:pPr>
        <w:keepNext/>
        <w:spacing w:after="40" w:before="140"/>
      </w:pPr>
      <w:r>
        <w:rPr>
          <w:rFonts w:ascii="Calibri" w:cs="Calibri" w:eastAsia="Calibri" w:hAnsi="Calibri"/>
          <w:b/>
          <w:bCs/>
          <w:color w:val="14161B"/>
          <w:sz w:val="20"/>
          <w:szCs w:val="20"/>
        </w:rPr>
        <w:t xml:space="preserve">Set the reminder at six months, not one</w:t>
      </w:r>
    </w:p>
    <w:p>
      <w:pPr>
        <w:spacing w:after="60" w:line="264"/>
        <w:jc w:val="both"/>
      </w:pPr>
      <w:r>
        <w:rPr>
          <w:rFonts w:ascii="Calibri" w:cs="Calibri" w:eastAsia="Calibri" w:hAnsi="Calibri"/>
          <w:sz w:val="19"/>
          <w:szCs w:val="19"/>
        </w:rPr>
        <w:t xml:space="preserve">Tenancy negotiations, landlord documents, sector approvals and outstanding fines all take longer than expected and involve third parties. A one-month reminder produces a scramble; six months produces a process.</w:t>
      </w:r>
    </w:p>
    <w:p>
      <w:pPr>
        <w:keepNext/>
        <w:spacing w:after="40" w:before="140"/>
      </w:pPr>
      <w:r>
        <w:rPr>
          <w:rFonts w:ascii="Calibri" w:cs="Calibri" w:eastAsia="Calibri" w:hAnsi="Calibri"/>
          <w:b/>
          <w:bCs/>
          <w:color w:val="14161B"/>
          <w:sz w:val="20"/>
          <w:szCs w:val="20"/>
        </w:rPr>
        <w:t xml:space="preserve">Clear fines before submitting</w:t>
      </w:r>
    </w:p>
    <w:p>
      <w:pPr>
        <w:spacing w:after="60" w:line="264"/>
        <w:jc w:val="both"/>
      </w:pPr>
      <w:r>
        <w:rPr>
          <w:rFonts w:ascii="Calibri" w:cs="Calibri" w:eastAsia="Calibri" w:hAnsi="Calibri"/>
          <w:sz w:val="19"/>
          <w:szCs w:val="19"/>
        </w:rPr>
        <w:t xml:space="preserve">Outstanding labour, municipality or vehicle fines can block a renewal, and they are discovered at submission when there is no time left. Check the position two months out while there is room to resolve it.</w:t>
      </w:r>
    </w:p>
    <w:p>
      <w:pPr>
        <w:keepNext/>
        <w:spacing w:after="40" w:before="140"/>
      </w:pPr>
      <w:r>
        <w:rPr>
          <w:rFonts w:ascii="Calibri" w:cs="Calibri" w:eastAsia="Calibri" w:hAnsi="Calibri"/>
          <w:b/>
          <w:bCs/>
          <w:color w:val="14161B"/>
          <w:sz w:val="20"/>
          <w:szCs w:val="20"/>
        </w:rPr>
        <w:t xml:space="preserve">Check the activity list every year</w:t>
      </w:r>
    </w:p>
    <w:p>
      <w:pPr>
        <w:spacing w:after="60" w:line="264"/>
        <w:jc w:val="both"/>
      </w:pPr>
      <w:r>
        <w:rPr>
          <w:rFonts w:ascii="Calibri" w:cs="Calibri" w:eastAsia="Calibri" w:hAnsi="Calibri"/>
          <w:sz w:val="19"/>
          <w:szCs w:val="19"/>
        </w:rPr>
        <w:t xml:space="preserve">Businesses evolve and the licence does not follow automatically. An annual comparison of licensed activities against what the company actually does catches the drift before a regulator, a bank or a counterparty does.</w:t>
      </w:r>
    </w:p>
    <w:p>
      <w:pPr>
        <w:keepNext/>
        <w:spacing w:after="40" w:before="140"/>
      </w:pPr>
      <w:r>
        <w:rPr>
          <w:rFonts w:ascii="Calibri" w:cs="Calibri" w:eastAsia="Calibri" w:hAnsi="Calibri"/>
          <w:b/>
          <w:bCs/>
          <w:color w:val="14161B"/>
          <w:sz w:val="20"/>
          <w:szCs w:val="20"/>
        </w:rPr>
        <w:t xml:space="preserve">Confirm the UBO register at renewal</w:t>
      </w:r>
    </w:p>
    <w:p>
      <w:pPr>
        <w:spacing w:after="60" w:line="264"/>
        <w:jc w:val="both"/>
      </w:pPr>
      <w:r>
        <w:rPr>
          <w:rFonts w:ascii="Calibri" w:cs="Calibri" w:eastAsia="Calibri" w:hAnsi="Calibri"/>
          <w:sz w:val="19"/>
          <w:szCs w:val="19"/>
        </w:rPr>
        <w:t xml:space="preserve">Ownership changes through the year and the register is rarely updated at the time. Renewal is a natural checkpoint, and an out-of-date register surfaces in banking reviews and diligence rather than in a friendly reminder.</w:t>
      </w:r>
    </w:p>
    <w:p>
      <w:pPr>
        <w:keepNext/>
        <w:spacing w:after="40" w:before="140"/>
      </w:pPr>
      <w:r>
        <w:rPr>
          <w:rFonts w:ascii="Calibri" w:cs="Calibri" w:eastAsia="Calibri" w:hAnsi="Calibri"/>
          <w:b/>
          <w:bCs/>
          <w:color w:val="14161B"/>
          <w:sz w:val="20"/>
          <w:szCs w:val="20"/>
        </w:rPr>
        <w:t xml:space="preserve">Know which changes need a notary</w:t>
      </w:r>
    </w:p>
    <w:p>
      <w:pPr>
        <w:spacing w:after="60" w:line="264"/>
        <w:jc w:val="both"/>
      </w:pPr>
      <w:r>
        <w:rPr>
          <w:rFonts w:ascii="Calibri" w:cs="Calibri" w:eastAsia="Calibri" w:hAnsi="Calibri"/>
          <w:sz w:val="19"/>
          <w:szCs w:val="19"/>
        </w:rPr>
        <w:t xml:space="preserve">Activities, managers, shareholding, name and capital all require a notarised MOA amendment plus a licence amendment on the mainland. Address and contact changes generally do not. Getting this wrong means discovering at the counter that the process is weeks rather than hours.</w:t>
      </w:r>
    </w:p>
    <w:p>
      <w:pPr>
        <w:keepNext/>
        <w:spacing w:after="40" w:before="140"/>
      </w:pPr>
      <w:r>
        <w:rPr>
          <w:rFonts w:ascii="Calibri" w:cs="Calibri" w:eastAsia="Calibri" w:hAnsi="Calibri"/>
          <w:b/>
          <w:bCs/>
          <w:color w:val="14161B"/>
          <w:sz w:val="20"/>
          <w:szCs w:val="20"/>
        </w:rPr>
        <w:t xml:space="preserve">Dormancy is not a compliance holiday</w:t>
      </w:r>
    </w:p>
    <w:p>
      <w:pPr>
        <w:spacing w:after="60" w:line="264"/>
        <w:jc w:val="both"/>
      </w:pPr>
      <w:r>
        <w:rPr>
          <w:rFonts w:ascii="Calibri" w:cs="Calibri" w:eastAsia="Calibri" w:hAnsi="Calibri"/>
          <w:sz w:val="19"/>
          <w:szCs w:val="19"/>
        </w:rPr>
        <w:t xml:space="preserve">A company that has stopped trading still needs its licence renewed, still files corporate tax returns, still maintains the UBO register and still keeps records. Founders who mothball an entity and stop paying attention accumulate penalties silently.</w:t>
      </w:r>
    </w:p>
    <w:p>
      <w:pPr>
        <w:keepNext/>
        <w:spacing w:after="40" w:before="140"/>
      </w:pPr>
      <w:r>
        <w:rPr>
          <w:rFonts w:ascii="Calibri" w:cs="Calibri" w:eastAsia="Calibri" w:hAnsi="Calibri"/>
          <w:b/>
          <w:bCs/>
          <w:color w:val="14161B"/>
          <w:sz w:val="20"/>
          <w:szCs w:val="20"/>
        </w:rPr>
        <w:t xml:space="preserve">Never simply let a licence lapse</w:t>
      </w:r>
    </w:p>
    <w:p>
      <w:pPr>
        <w:spacing w:after="60" w:line="264"/>
        <w:jc w:val="both"/>
      </w:pPr>
      <w:r>
        <w:rPr>
          <w:rFonts w:ascii="Calibri" w:cs="Calibri" w:eastAsia="Calibri" w:hAnsi="Calibri"/>
          <w:sz w:val="19"/>
          <w:szCs w:val="19"/>
        </w:rPr>
        <w:t xml:space="preserve">Lapsing does not dissolve the company. Fines accrue, employees’ residence becomes invalid, and reinstatement or later closure costs far more than renewal would have. It is the most expensive way to close a business.</w:t>
      </w:r>
    </w:p>
    <w:p>
      <w:pPr>
        <w:keepNext/>
        <w:spacing w:after="40" w:before="140"/>
      </w:pPr>
      <w:r>
        <w:rPr>
          <w:rFonts w:ascii="Calibri" w:cs="Calibri" w:eastAsia="Calibri" w:hAnsi="Calibri"/>
          <w:b/>
          <w:bCs/>
          <w:color w:val="14161B"/>
          <w:sz w:val="20"/>
          <w:szCs w:val="20"/>
        </w:rPr>
        <w:t xml:space="preserve">Close properly if you are closing</w:t>
      </w:r>
    </w:p>
    <w:p>
      <w:pPr>
        <w:spacing w:after="60" w:line="264"/>
        <w:jc w:val="both"/>
      </w:pPr>
      <w:r>
        <w:rPr>
          <w:rFonts w:ascii="Calibri" w:cs="Calibri" w:eastAsia="Calibri" w:hAnsi="Calibri"/>
          <w:sz w:val="19"/>
          <w:szCs w:val="19"/>
        </w:rPr>
        <w:t xml:space="preserve">Settle employees within 14 days, cancel permits and visas in the right order, clear liabilities, deregister for tax, obtain the necessary clearances, and cancel the licence formally. Each step has a dependency and skipping one blocks the next.</w:t>
      </w:r>
    </w:p>
    <w:p>
      <w:pPr>
        <w:keepNext/>
        <w:spacing w:after="40" w:before="140"/>
      </w:pPr>
      <w:r>
        <w:rPr>
          <w:rFonts w:ascii="Calibri" w:cs="Calibri" w:eastAsia="Calibri" w:hAnsi="Calibri"/>
          <w:b/>
          <w:bCs/>
          <w:color w:val="14161B"/>
          <w:sz w:val="20"/>
          <w:szCs w:val="20"/>
        </w:rPr>
        <w:t xml:space="preserve">Redomiciliation is now an option</w:t>
      </w:r>
    </w:p>
    <w:p>
      <w:pPr>
        <w:spacing w:after="60" w:line="264"/>
        <w:jc w:val="both"/>
      </w:pPr>
      <w:r>
        <w:rPr>
          <w:rFonts w:ascii="Calibri" w:cs="Calibri" w:eastAsia="Calibri" w:hAnsi="Calibri"/>
          <w:sz w:val="19"/>
          <w:szCs w:val="19"/>
        </w:rPr>
        <w:t xml:space="preserve">The amended Commercial Companies Law introduced transfer of registration between competent authorities, including between mainland and free zones. Where the original jurisdiction choice has become wrong, that is now a process rather than a restructuring — but it is a process with approvals.</w:t>
      </w:r>
    </w:p>
    <w:p>
      <w:pPr>
        <w:keepNext/>
        <w:spacing w:after="40" w:before="140"/>
      </w:pPr>
      <w:r>
        <w:rPr>
          <w:rFonts w:ascii="Calibri" w:cs="Calibri" w:eastAsia="Calibri" w:hAnsi="Calibri"/>
          <w:b/>
          <w:bCs/>
          <w:color w:val="14161B"/>
          <w:sz w:val="20"/>
          <w:szCs w:val="20"/>
        </w:rPr>
        <w:t xml:space="preserve">Keep the corporate file complete and in one place</w:t>
      </w:r>
    </w:p>
    <w:p>
      <w:pPr>
        <w:spacing w:after="60" w:line="264"/>
        <w:jc w:val="both"/>
      </w:pPr>
      <w:r>
        <w:rPr>
          <w:rFonts w:ascii="Calibri" w:cs="Calibri" w:eastAsia="Calibri" w:hAnsi="Calibri"/>
          <w:sz w:val="19"/>
          <w:szCs w:val="19"/>
        </w:rPr>
        <w:t xml:space="preserve">Licence history, notarised MOA and every amendment, resolutions in sequence, share transfers with approvals, UBO filings and powers of attorney. Companies reconstruct this painfully and incompletely at their first financing or sale, and gaps in the amendment chain are genuinely hard to remedy.</w:t>
      </w:r>
    </w:p>
    <w:p>
      <w:pPr>
        <w:keepNext/>
        <w:spacing w:after="40" w:before="140"/>
      </w:pPr>
      <w:r>
        <w:rPr>
          <w:rFonts w:ascii="Calibri" w:cs="Calibri" w:eastAsia="Calibri" w:hAnsi="Calibri"/>
          <w:b/>
          <w:bCs/>
          <w:color w:val="14161B"/>
          <w:sz w:val="20"/>
          <w:szCs w:val="20"/>
        </w:rPr>
        <w:t xml:space="preserve">Seven years for tax records</w:t>
      </w:r>
    </w:p>
    <w:p>
      <w:pPr>
        <w:spacing w:after="60" w:line="264"/>
        <w:jc w:val="both"/>
      </w:pPr>
      <w:r>
        <w:rPr>
          <w:rFonts w:ascii="Calibri" w:cs="Calibri" w:eastAsia="Calibri" w:hAnsi="Calibri"/>
          <w:sz w:val="19"/>
          <w:szCs w:val="19"/>
        </w:rPr>
        <w:t xml:space="preserve">Corporate tax and VAT both require records retained for seven years, running from the end of the relevant tax period rather than the transaction date. Build the retention rule into document management rather than deciding later.</w:t>
      </w:r>
    </w:p>
    <w:p>
      <w:pPr>
        <w:keepNext/>
        <w:spacing w:after="40" w:before="140"/>
      </w:pPr>
      <w:r>
        <w:rPr>
          <w:rFonts w:ascii="Calibri" w:cs="Calibri" w:eastAsia="Calibri" w:hAnsi="Calibri"/>
          <w:b/>
          <w:bCs/>
          <w:color w:val="14161B"/>
          <w:sz w:val="20"/>
          <w:szCs w:val="20"/>
        </w:rPr>
        <w:t xml:space="preserve">Notify the bank on renewal</w:t>
      </w:r>
    </w:p>
    <w:p>
      <w:pPr>
        <w:spacing w:after="60" w:line="264"/>
        <w:jc w:val="both"/>
      </w:pPr>
      <w:r>
        <w:rPr>
          <w:rFonts w:ascii="Calibri" w:cs="Calibri" w:eastAsia="Calibri" w:hAnsi="Calibri"/>
          <w:sz w:val="19"/>
          <w:szCs w:val="19"/>
        </w:rPr>
        <w:t xml:space="preserve">Banks require a current trade licence and will restrict accounts where their copy has expired. Sending the renewed licence promptly avoids a payment freeze at an inconvenient moment.</w:t>
      </w:r>
    </w:p>
    <w:p>
      <w:pPr>
        <w:keepNext/>
        <w:spacing w:after="40" w:before="140"/>
      </w:pPr>
      <w:r>
        <w:rPr>
          <w:rFonts w:ascii="Calibri" w:cs="Calibri" w:eastAsia="Calibri" w:hAnsi="Calibri"/>
          <w:b/>
          <w:bCs/>
          <w:color w:val="14161B"/>
          <w:sz w:val="20"/>
          <w:szCs w:val="20"/>
        </w:rPr>
        <w:t xml:space="preserve">Reconfirm visa quota after renewal</w:t>
      </w:r>
    </w:p>
    <w:p>
      <w:pPr>
        <w:spacing w:after="60" w:line="264"/>
        <w:jc w:val="both"/>
      </w:pPr>
      <w:r>
        <w:rPr>
          <w:rFonts w:ascii="Calibri" w:cs="Calibri" w:eastAsia="Calibri" w:hAnsi="Calibri"/>
          <w:sz w:val="19"/>
          <w:szCs w:val="19"/>
        </w:rPr>
        <w:t xml:space="preserve">Quota is linked to premises and activity, and both can change at renewal. Confirm the position against hiring plans rather than assuming last year’s quota carries over.</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requirements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Renewal procedures, registration systems, notarisation requirements, fines and closure processes differ by emirate and free zone and change — confirm with the relevant Department of Economic Development or zone authority, and take advice before closing or redomiciling an entity.</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2026-08-23T16:28:35.136Z</dcterms:created>
  <dcterms:modified xsi:type="dcterms:W3CDTF">2026-08-23T16:28:35.136Z</dcterms:modified>
</cp:coreProperties>
</file>

<file path=docProps/custom.xml><?xml version="1.0" encoding="utf-8"?>
<Properties xmlns="http://schemas.openxmlformats.org/officeDocument/2006/custom-properties" xmlns:vt="http://schemas.openxmlformats.org/officeDocument/2006/docPropsVTypes"/>
</file>