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FORMS AND TEMPLATES — UAE</w:t>
      </w:r>
    </w:p>
    <w:p>
      <w:pPr>
        <w:spacing w:after="260"/>
        <w:jc w:val="center"/>
      </w:pPr>
      <w:r>
        <w:rPr>
          <w:rFonts w:ascii="Calibri" w:cs="Calibri" w:eastAsia="Calibri" w:hAnsi="Calibri"/>
          <w:i/>
          <w:iCs/>
          <w:color w:val="6E7480"/>
          <w:sz w:val="19"/>
          <w:szCs w:val="19"/>
        </w:rPr>
        <w:t xml:space="preserve">What is in this library and how to use it</w:t>
      </w:r>
    </w:p>
    <w:p>
      <w:pPr>
        <w:spacing w:after="180" w:before="0" w:line="276"/>
        <w:jc w:val="both"/>
      </w:pPr>
      <w:r>
        <w:rPr>
          <w:rFonts w:ascii="Calibri" w:cs="Calibri" w:eastAsia="Calibri" w:hAnsi="Calibri"/>
          <w:i/>
          <w:iCs/>
          <w:color w:val="6E7480"/>
          <w:sz w:val="21"/>
          <w:szCs w:val="21"/>
        </w:rPr>
        <w:t xml:space="preserve">102 documents covering setting up, employing people, paying them, tax, contracts, data protection and closing down. Each one carries practitioner notes at the end — the notes are where the value is, not the template.</w:t>
      </w:r>
    </w:p>
    <w:p>
      <w:pPr>
        <w:keepNext/>
        <w:spacing w:after="120" w:before="280"/>
        <w:outlineLvl w:val="0"/>
      </w:pPr>
      <w:r>
        <w:rPr>
          <w:rFonts w:ascii="Calibri" w:cs="Calibri" w:eastAsia="Calibri" w:hAnsi="Calibri"/>
          <w:b/>
          <w:bCs/>
          <w:color w:val="14161B"/>
          <w:sz w:val="22"/>
          <w:szCs w:val="22"/>
        </w:rPr>
        <w:t xml:space="preserve">HOW TO USE THESE</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b/>
          <w:bCs/>
          <w:sz w:val="21"/>
          <w:szCs w:val="21"/>
        </w:rPr>
        <w:t xml:space="preserve">Read the notes first.</w:t>
      </w:r>
      <w:r>
        <w:rPr>
          <w:rFonts w:ascii="Calibri" w:cs="Calibri" w:eastAsia="Calibri" w:hAnsi="Calibri"/>
          <w:sz w:val="21"/>
          <w:szCs w:val="21"/>
        </w:rPr>
        <w:t xml:space="preserve"> Every document ends with fifteen practitioner notes covering what actually goes wrong. They are more useful than the template above them.</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b/>
          <w:bCs/>
          <w:sz w:val="21"/>
          <w:szCs w:val="21"/>
        </w:rPr>
        <w:t xml:space="preserve">Check the jurisdiction.</w:t>
      </w:r>
      <w:r>
        <w:rPr>
          <w:rFonts w:ascii="Calibri" w:cs="Calibri" w:eastAsia="Calibri" w:hAnsi="Calibri"/>
          <w:sz w:val="21"/>
          <w:szCs w:val="21"/>
        </w:rPr>
        <w:t xml:space="preserve"> Mainland, free zone, DIFC and ADGM have different employment law, data protection regimes and share mechanics. A document drafted for one is wrong for another.</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b/>
          <w:bCs/>
          <w:sz w:val="21"/>
          <w:szCs w:val="21"/>
        </w:rPr>
        <w:t xml:space="preserve">Replace every placeholder.</w:t>
      </w:r>
      <w:r>
        <w:rPr>
          <w:rFonts w:ascii="Calibri" w:cs="Calibri" w:eastAsia="Calibri" w:hAnsi="Calibri"/>
          <w:sz w:val="21"/>
          <w:szCs w:val="21"/>
        </w:rPr>
        <w:t xml:space="preserve"> Anything in double braces needs a real value or the clause needs deleting.</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b/>
          <w:bCs/>
          <w:sz w:val="21"/>
          <w:szCs w:val="21"/>
        </w:rPr>
        <w:t xml:space="preserve">Verify the current position.</w:t>
      </w:r>
      <w:r>
        <w:rPr>
          <w:rFonts w:ascii="Calibri" w:cs="Calibri" w:eastAsia="Calibri" w:hAnsi="Calibri"/>
          <w:sz w:val="21"/>
          <w:szCs w:val="21"/>
        </w:rPr>
        <w:t xml:space="preserve"> Each document carries a "current as of" note. Thresholds, deadlines, penalty levels and targets change, some annually.</w:t>
      </w:r>
    </w:p>
    <w:p>
      <w:pPr>
        <w:spacing w:after="120" w:before="60" w:line="276"/>
        <w:ind w:left="720" w:hanging="720"/>
        <w:jc w:val="both"/>
      </w:pPr>
      <w:r>
        <w:rPr>
          <w:rFonts w:ascii="Calibri" w:cs="Calibri" w:eastAsia="Calibri" w:hAnsi="Calibri"/>
          <w:sz w:val="21"/>
          <w:szCs w:val="21"/>
        </w:rPr>
        <w:t xml:space="preserve">1.5	</w:t>
      </w:r>
      <w:r>
        <w:rPr>
          <w:rFonts w:ascii="Calibri" w:cs="Calibri" w:eastAsia="Calibri" w:hAnsi="Calibri"/>
          <w:b/>
          <w:bCs/>
          <w:sz w:val="21"/>
          <w:szCs w:val="21"/>
        </w:rPr>
        <w:t xml:space="preserve">Take advice where it matters.</w:t>
      </w:r>
      <w:r>
        <w:rPr>
          <w:rFonts w:ascii="Calibri" w:cs="Calibri" w:eastAsia="Calibri" w:hAnsi="Calibri"/>
          <w:sz w:val="21"/>
          <w:szCs w:val="21"/>
        </w:rPr>
        <w:t xml:space="preserve"> These are starting points. Anything material — a lease, an investment, a termination, a registered agency — warrants a UAE lawyer.</w:t>
      </w:r>
    </w:p>
    <w:p>
      <w:pPr>
        <w:spacing w:after="120" w:before="60" w:line="276"/>
        <w:ind w:left="720" w:hanging="720"/>
        <w:jc w:val="both"/>
      </w:pPr>
      <w:r>
        <w:rPr>
          <w:rFonts w:ascii="Calibri" w:cs="Calibri" w:eastAsia="Calibri" w:hAnsi="Calibri"/>
          <w:sz w:val="21"/>
          <w:szCs w:val="21"/>
        </w:rPr>
        <w:t xml:space="preserve">1.6	</w:t>
      </w:r>
      <w:r>
        <w:rPr>
          <w:rFonts w:ascii="Calibri" w:cs="Calibri" w:eastAsia="Calibri" w:hAnsi="Calibri"/>
          <w:i/>
          <w:iCs/>
          <w:sz w:val="21"/>
          <w:szCs w:val="21"/>
        </w:rPr>
        <w:t xml:space="preserve">Where a document says a position is unresolved or asks you to confirm something, that is deliberate. Several areas are genuinely reported inconsistently, and the honest answer is to verify rather than assert.</w:t>
      </w:r>
    </w:p>
    <w:p>
      <w:pPr>
        <w:keepNext/>
        <w:spacing w:after="120" w:before="280"/>
        <w:outlineLvl w:val="0"/>
      </w:pPr>
      <w:r>
        <w:rPr>
          <w:rFonts w:ascii="Calibri" w:cs="Calibri" w:eastAsia="Calibri" w:hAnsi="Calibri"/>
          <w:b/>
          <w:bCs/>
          <w:color w:val="14161B"/>
          <w:sz w:val="22"/>
          <w:szCs w:val="22"/>
        </w:rPr>
        <w:t xml:space="preserve">CONTENTS BY CLUSTER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6746"/>
        <w:gridCol w:w="2892"/>
      </w:tblGrid>
      <w:tr>
        <w:trPr>
          <w:cantSplit/>
          <w:tblHeader/>
        </w:trPr>
        <w:tc>
          <w:tcPr>
            <w:tcW w:type="dxa" w:w="674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Cluster</w:t>
            </w:r>
          </w:p>
        </w:tc>
        <w:tc>
          <w:tcPr>
            <w:tcW w:type="dxa" w:w="289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Documents</w:t>
            </w:r>
          </w:p>
        </w:tc>
      </w:tr>
      <w:tr>
        <w:trPr>
          <w:cantSplit/>
        </w:trPr>
        <w:tc>
          <w:tcPr>
            <w:tcW w:type="dxa" w:w="674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Choosing a Structure and Setting Up</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10</w:t>
            </w:r>
          </w:p>
        </w:tc>
      </w:tr>
      <w:tr>
        <w:trPr>
          <w:cantSplit/>
        </w:trPr>
        <w:tc>
          <w:tcPr>
            <w:tcW w:type="dxa" w:w="674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Employment and HR</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20</w:t>
            </w:r>
          </w:p>
        </w:tc>
      </w:tr>
      <w:tr>
        <w:trPr>
          <w:cantSplit/>
        </w:trPr>
        <w:tc>
          <w:tcPr>
            <w:tcW w:type="dxa" w:w="674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Payroll and End of Service</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4</w:t>
            </w:r>
          </w:p>
        </w:tc>
      </w:tr>
      <w:tr>
        <w:trPr>
          <w:cantSplit/>
        </w:trPr>
        <w:tc>
          <w:tcPr>
            <w:tcW w:type="dxa" w:w="674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Immigration and Emiratisation</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6</w:t>
            </w:r>
          </w:p>
        </w:tc>
      </w:tr>
      <w:tr>
        <w:trPr>
          <w:cantSplit/>
        </w:trPr>
        <w:tc>
          <w:tcPr>
            <w:tcW w:type="dxa" w:w="674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DIFC and ADGM</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4</w:t>
            </w:r>
          </w:p>
        </w:tc>
      </w:tr>
      <w:tr>
        <w:trPr>
          <w:cantSplit/>
        </w:trPr>
        <w:tc>
          <w:tcPr>
            <w:tcW w:type="dxa" w:w="674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Free Zone</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w:t>
            </w:r>
          </w:p>
        </w:tc>
      </w:tr>
      <w:tr>
        <w:trPr>
          <w:cantSplit/>
        </w:trPr>
        <w:tc>
          <w:tcPr>
            <w:tcW w:type="dxa" w:w="674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6</w:t>
            </w:r>
          </w:p>
        </w:tc>
      </w:tr>
      <w:tr>
        <w:trPr>
          <w:cantSplit/>
        </w:trPr>
        <w:tc>
          <w:tcPr>
            <w:tcW w:type="dxa" w:w="674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Corporate Governance and Compliance</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10</w:t>
            </w:r>
          </w:p>
        </w:tc>
      </w:tr>
      <w:tr>
        <w:trPr>
          <w:cantSplit/>
        </w:trPr>
        <w:tc>
          <w:tcPr>
            <w:tcW w:type="dxa" w:w="674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Data Protection</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7</w:t>
            </w:r>
          </w:p>
        </w:tc>
      </w:tr>
      <w:tr>
        <w:trPr>
          <w:cantSplit/>
        </w:trPr>
        <w:tc>
          <w:tcPr>
            <w:tcW w:type="dxa" w:w="674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Commercial Contracts</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18</w:t>
            </w:r>
          </w:p>
        </w:tc>
      </w:tr>
      <w:tr>
        <w:trPr>
          <w:cantSplit/>
        </w:trPr>
        <w:tc>
          <w:tcPr>
            <w:tcW w:type="dxa" w:w="674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Equity and Fundraising</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8</w:t>
            </w:r>
          </w:p>
        </w:tc>
      </w:tr>
      <w:tr>
        <w:trPr>
          <w:cantSplit/>
        </w:trPr>
        <w:tc>
          <w:tcPr>
            <w:tcW w:type="dxa" w:w="674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Operations</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7</w:t>
            </w:r>
          </w:p>
        </w:tc>
      </w:tr>
      <w:tr>
        <w:trPr>
          <w:cantSplit/>
        </w:trPr>
        <w:tc>
          <w:tcPr>
            <w:tcW w:type="dxa" w:w="674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Language</w:t>
            </w:r>
          </w:p>
        </w:tc>
        <w:tc>
          <w:tcPr>
            <w:tcW w:type="dxa" w:w="289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w:t>
            </w:r>
          </w:p>
        </w:tc>
      </w:tr>
    </w:tbl>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240" w:before="240"/>
        <w:jc w:val="center"/>
      </w:pPr>
      <w:r>
        <w:rPr>
          <w:rFonts w:ascii="Calibri" w:cs="Calibri" w:eastAsia="Calibri" w:hAnsi="Calibri"/>
          <w:b/>
          <w:bCs/>
          <w:color w:val="14161B"/>
          <w:spacing w:val="12"/>
          <w:sz w:val="28"/>
          <w:szCs w:val="28"/>
        </w:rPr>
        <w:t xml:space="preserve">FULL INDEX</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5397"/>
        <w:gridCol w:w="3856"/>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Cluster</w:t>
            </w:r>
          </w:p>
        </w:tc>
        <w:tc>
          <w:tcPr>
            <w:tcW w:type="dxa" w:w="539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Document</w:t>
            </w:r>
          </w:p>
        </w:tc>
        <w:tc>
          <w:tcPr>
            <w:tcW w:type="dxa" w:w="38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Slug</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Choosing a Structure and Setting Up</w:t>
            </w:r>
          </w:p>
        </w:tc>
        <w:tc>
          <w:tcPr>
            <w:tcW w:type="dxa" w:w="5397"/>
            <w:tcMar>
              <w:top w:type="dxa" w:w="70"/>
              <w:left w:type="dxa" w:w="100"/>
              <w:bottom w:type="dxa" w:w="70"/>
              <w:right w:type="dxa" w:w="100"/>
            </w:tcMar>
            <w:vAlign w:val="center"/>
          </w:tcPr>
          <w:p>
            <w:pPr>
              <w:spacing w:after="0" w:line="240"/>
              <w:jc w:val="left"/>
            </w:pPr>
          </w:p>
        </w:tc>
        <w:tc>
          <w:tcPr>
            <w:tcW w:type="dxa" w:w="3856"/>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Choosing Your UAE Jurisdiction</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`choosing-uae-jurisdiction`</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Mainland Company Formation</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`mainland-llc-incorporation`</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Free Zone Company Formation</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`free-zone-formation`</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Branch and Representative Office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`branch-and-representative-office`</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Memorandum of Association</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`memorandum-of-association`</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Setting Up Premises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`setting-up-premises`</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Commercial Tenancy</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`commercial-tenancy`</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Fit-Out and Construction</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`fit-out-and-construction`</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Banking and Treasury</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`banking-and-treasury`</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The First 90 Days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`first-90-days`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Employment and HR</w:t>
            </w:r>
          </w:p>
        </w:tc>
        <w:tc>
          <w:tcPr>
            <w:tcW w:type="dxa" w:w="5397"/>
            <w:tcMar>
              <w:top w:type="dxa" w:w="70"/>
              <w:left w:type="dxa" w:w="100"/>
              <w:bottom w:type="dxa" w:w="70"/>
              <w:right w:type="dxa" w:w="100"/>
            </w:tcMar>
            <w:vAlign w:val="center"/>
          </w:tcPr>
          <w:p>
            <w:pPr>
              <w:spacing w:after="0" w:line="240"/>
              <w:jc w:val="left"/>
            </w:pPr>
          </w:p>
        </w:tc>
        <w:tc>
          <w:tcPr>
            <w:tcW w:type="dxa" w:w="3856"/>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Contract of Employment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`employment-contract-mainland`</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Offer of Employment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`offer-of-employment`</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Employee Handbook</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`employee-handbook`</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Employment Letters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`employment-letters`</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Recruitment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`recruitment`</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Onboarding</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`employee-onboarding`</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Work Models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`work-models`</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Leave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`leave-policy`</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Performance Management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`performance-management`</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Discipline and Grievance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`discipline-and-grievance`</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Respect at Work</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`respect-at-work`</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Speaking Up</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`speaking-up`</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Employee Wellbeing</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`employee-wellbeing`</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Confidentiality and Intellectual Property</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`confidentiality-and-ip`</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Training and Study Support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`training-and-study-support`</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Secondment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`secondment`</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Termination of Employment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`termination-of-employment`</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Redundancy and Restructuring</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`redundancy-and-restructuring`</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Settlement Agreement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`settlement-agreement`</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Offboarding</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`offboarding`</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Payroll and End of Service</w:t>
            </w:r>
          </w:p>
        </w:tc>
        <w:tc>
          <w:tcPr>
            <w:tcW w:type="dxa" w:w="5397"/>
            <w:tcMar>
              <w:top w:type="dxa" w:w="70"/>
              <w:left w:type="dxa" w:w="100"/>
              <w:bottom w:type="dxa" w:w="70"/>
              <w:right w:type="dxa" w:w="100"/>
            </w:tcMar>
            <w:vAlign w:val="center"/>
          </w:tcPr>
          <w:p>
            <w:pPr>
              <w:spacing w:after="0" w:line="240"/>
              <w:jc w:val="left"/>
            </w:pPr>
          </w:p>
        </w:tc>
        <w:tc>
          <w:tcPr>
            <w:tcW w:type="dxa" w:w="3856"/>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Running Payroll</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`running-payroll`</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Wage Protection System</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`wps-compliance`</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End of Service Gratuity</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`end-of-service-gratuity`</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Health Insurance and Benefits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`health-insurance-and-benefits`</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Immigration and Emiratisation</w:t>
            </w:r>
          </w:p>
        </w:tc>
        <w:tc>
          <w:tcPr>
            <w:tcW w:type="dxa" w:w="5397"/>
            <w:tcMar>
              <w:top w:type="dxa" w:w="70"/>
              <w:left w:type="dxa" w:w="100"/>
              <w:bottom w:type="dxa" w:w="70"/>
              <w:right w:type="dxa" w:w="100"/>
            </w:tcMar>
            <w:vAlign w:val="center"/>
          </w:tcPr>
          <w:p>
            <w:pPr>
              <w:spacing w:after="0" w:line="240"/>
              <w:jc w:val="left"/>
            </w:pPr>
          </w:p>
        </w:tc>
        <w:tc>
          <w:tcPr>
            <w:tcW w:type="dxa" w:w="3856"/>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Work Permit and Residence Visa</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`work-permit-and-residence-visa`</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Long-Term Residence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`long-term-residence`</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Sponsoring Family</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`sponsoring-family`</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Emiratisation Compliance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`emiratisation-compliance`</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Emirati Talent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`emirati-talent`</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Outsourced Labour</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`outsourced-labour`</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DIFC and ADGM</w:t>
            </w:r>
          </w:p>
        </w:tc>
        <w:tc>
          <w:tcPr>
            <w:tcW w:type="dxa" w:w="5397"/>
            <w:tcMar>
              <w:top w:type="dxa" w:w="70"/>
              <w:left w:type="dxa" w:w="100"/>
              <w:bottom w:type="dxa" w:w="70"/>
              <w:right w:type="dxa" w:w="100"/>
            </w:tcMar>
            <w:vAlign w:val="center"/>
          </w:tcPr>
          <w:p>
            <w:pPr>
              <w:spacing w:after="0" w:line="240"/>
              <w:jc w:val="left"/>
            </w:pPr>
          </w:p>
        </w:tc>
        <w:tc>
          <w:tcPr>
            <w:tcW w:type="dxa" w:w="3856"/>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DIFC and ADGM Employment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`difc-adgm-employment`</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Employee Handbook — DIFC and ADGM</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`difc-adgm-handbook`</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DIFC Data Protection Policy</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`difc-data-protection-policy`</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ADGM Data Protection Policy</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`adgm-data-protection-policy`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Free Zone</w:t>
            </w:r>
          </w:p>
        </w:tc>
        <w:tc>
          <w:tcPr>
            <w:tcW w:type="dxa" w:w="5397"/>
            <w:tcMar>
              <w:top w:type="dxa" w:w="70"/>
              <w:left w:type="dxa" w:w="100"/>
              <w:bottom w:type="dxa" w:w="70"/>
              <w:right w:type="dxa" w:w="100"/>
            </w:tcMar>
            <w:vAlign w:val="center"/>
          </w:tcPr>
          <w:p>
            <w:pPr>
              <w:spacing w:after="0" w:line="240"/>
              <w:jc w:val="left"/>
            </w:pPr>
          </w:p>
        </w:tc>
        <w:tc>
          <w:tcPr>
            <w:tcW w:type="dxa" w:w="3856"/>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Free Zone Employment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`free-zone-employment`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Tax</w:t>
            </w:r>
          </w:p>
        </w:tc>
        <w:tc>
          <w:tcPr>
            <w:tcW w:type="dxa" w:w="5397"/>
            <w:tcMar>
              <w:top w:type="dxa" w:w="70"/>
              <w:left w:type="dxa" w:w="100"/>
              <w:bottom w:type="dxa" w:w="70"/>
              <w:right w:type="dxa" w:w="100"/>
            </w:tcMar>
            <w:vAlign w:val="center"/>
          </w:tcPr>
          <w:p>
            <w:pPr>
              <w:spacing w:after="0" w:line="240"/>
              <w:jc w:val="left"/>
            </w:pPr>
          </w:p>
        </w:tc>
        <w:tc>
          <w:tcPr>
            <w:tcW w:type="dxa" w:w="3856"/>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Corporate Tax</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`corporate-tax-and-qfzp`</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Corporate Tax Return</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`corporate-tax-return`</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VAT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`vat-and-e-invoicing`</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Transfer Pricing</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`transfer-pricing`</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Tax Residency</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`tax-residency`</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Economic Substance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`economic-substance`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Corporate Governance and Compliance</w:t>
            </w:r>
          </w:p>
        </w:tc>
        <w:tc>
          <w:tcPr>
            <w:tcW w:type="dxa" w:w="5397"/>
            <w:tcMar>
              <w:top w:type="dxa" w:w="70"/>
              <w:left w:type="dxa" w:w="100"/>
              <w:bottom w:type="dxa" w:w="70"/>
              <w:right w:type="dxa" w:w="100"/>
            </w:tcMar>
            <w:vAlign w:val="center"/>
          </w:tcPr>
          <w:p>
            <w:pPr>
              <w:spacing w:after="0" w:line="240"/>
              <w:jc w:val="left"/>
            </w:pPr>
          </w:p>
        </w:tc>
        <w:tc>
          <w:tcPr>
            <w:tcW w:type="dxa" w:w="3856"/>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Governance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`governance`</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Resolutions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`resolutions`</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Beneficial Ownership and AML</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`ubo-and-aml-compliance`</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Business Conduct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`business-conduct-and-anti-bribery`</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Licence Renewal and Corporate Maintenance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`licence-renewal-and-maintenance`</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Annual Compliance Calendar</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`annual-compliance-calendar`</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Inspections and Audits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`inspections-and-audits`</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Record Retention</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`record-retention`</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Group Structures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`group-structures`</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Closing a Company</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`closing-a-company`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Data Protection</w:t>
            </w:r>
          </w:p>
        </w:tc>
        <w:tc>
          <w:tcPr>
            <w:tcW w:type="dxa" w:w="5397"/>
            <w:tcMar>
              <w:top w:type="dxa" w:w="70"/>
              <w:left w:type="dxa" w:w="100"/>
              <w:bottom w:type="dxa" w:w="70"/>
              <w:right w:type="dxa" w:w="100"/>
            </w:tcMar>
            <w:vAlign w:val="center"/>
          </w:tcPr>
          <w:p>
            <w:pPr>
              <w:spacing w:after="0" w:line="240"/>
              <w:jc w:val="left"/>
            </w:pPr>
          </w:p>
        </w:tc>
        <w:tc>
          <w:tcPr>
            <w:tcW w:type="dxa" w:w="3856"/>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Personal Data Protection Policy</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`pdpl-data-protection-policy`</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Cross-Border Data Transfer Assessment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`cross-border-data-transfer-assessment`</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Data Processing Addendum</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`data-processing-addendum`</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Data Breach Response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`data-breach-response`</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Data Protection Officer</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`data-protection-officer`</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Employee Privacy Notice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`employee-privacy-notice`</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IT and Information Security</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`it-and-information-security`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Commercial Contracts</w:t>
            </w:r>
          </w:p>
        </w:tc>
        <w:tc>
          <w:tcPr>
            <w:tcW w:type="dxa" w:w="5397"/>
            <w:tcMar>
              <w:top w:type="dxa" w:w="70"/>
              <w:left w:type="dxa" w:w="100"/>
              <w:bottom w:type="dxa" w:w="70"/>
              <w:right w:type="dxa" w:w="100"/>
            </w:tcMar>
            <w:vAlign w:val="center"/>
          </w:tcPr>
          <w:p>
            <w:pPr>
              <w:spacing w:after="0" w:line="240"/>
              <w:jc w:val="left"/>
            </w:pPr>
          </w:p>
        </w:tc>
        <w:tc>
          <w:tcPr>
            <w:tcW w:type="dxa" w:w="3856"/>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Non-Disclosure Agreement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`non-disclosure-agreement`</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Services Agreement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`services-agreement`</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Engaging a Consultant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`engaging-a-consultant`</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Supply of Goods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`supply-of-goods`</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Distribution Agreement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`distribution-agreement`</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Commercial Agency and Distribution</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`commercial-agency-and-distribution`</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Franchising</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`franchising`</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Managing Contracts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`managing-contracts`</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Procurement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`procurement`</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Loan Agreement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`loan-agreement`</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Guarantee and Indemnity</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`guarantee-and-indemnity`</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Power of Attorney</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`power-of-attorney`</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Debt Recovery</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`debt-recovery-letter-of-demand`</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Resolving Disputes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`resolving-disputes`</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Selling to Consumers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`selling-to-consumers`</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Website Terms and Privacy Notice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`website-terms-and-privacy-notice`</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Marketing and Advertising</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`marketing-and-advertising`</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Protecting Intellectual Property</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`protecting-intellectual-property`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Equity and Fundraising</w:t>
            </w:r>
          </w:p>
        </w:tc>
        <w:tc>
          <w:tcPr>
            <w:tcW w:type="dxa" w:w="5397"/>
            <w:tcMar>
              <w:top w:type="dxa" w:w="70"/>
              <w:left w:type="dxa" w:w="100"/>
              <w:bottom w:type="dxa" w:w="70"/>
              <w:right w:type="dxa" w:w="100"/>
            </w:tcMar>
            <w:vAlign w:val="center"/>
          </w:tcPr>
          <w:p>
            <w:pPr>
              <w:spacing w:after="0" w:line="240"/>
              <w:jc w:val="left"/>
            </w:pPr>
          </w:p>
        </w:tc>
        <w:tc>
          <w:tcPr>
            <w:tcW w:type="dxa" w:w="3856"/>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Founders’ Agreement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`founders-agreement`</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Shareholders’ Agreement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`shareholders-agreement`</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Raising Investment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`raising-investment`</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Convertible Instruments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`convertible-instruments`</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Share Purchase Agreement</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`share-purchase-agreement`</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Cap Table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`cap-table`</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Employee Equity</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`employee-equity`</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Due Diligence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`due-diligence-checklist`</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Operations</w:t>
            </w:r>
          </w:p>
        </w:tc>
        <w:tc>
          <w:tcPr>
            <w:tcW w:type="dxa" w:w="5397"/>
            <w:tcMar>
              <w:top w:type="dxa" w:w="70"/>
              <w:left w:type="dxa" w:w="100"/>
              <w:bottom w:type="dxa" w:w="70"/>
              <w:right w:type="dxa" w:w="100"/>
            </w:tcMar>
            <w:vAlign w:val="center"/>
          </w:tcPr>
          <w:p>
            <w:pPr>
              <w:spacing w:after="0" w:line="240"/>
              <w:jc w:val="left"/>
            </w:pPr>
          </w:p>
        </w:tc>
        <w:tc>
          <w:tcPr>
            <w:tcW w:type="dxa" w:w="3856"/>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Workplace Safety and Health</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`workplace-safety-and-health`</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Business Continuity</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`business-continuity`</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Insurance</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`business-insurance`</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Business Travel</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`business-travel`</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Expenses and Company Money</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`expenses-policy`</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Company Vehicles</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`company-vehicles`</w:t>
            </w: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Buying Property</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`buying-property`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Language</w:t>
            </w:r>
          </w:p>
        </w:tc>
        <w:tc>
          <w:tcPr>
            <w:tcW w:type="dxa" w:w="5397"/>
            <w:tcMar>
              <w:top w:type="dxa" w:w="70"/>
              <w:left w:type="dxa" w:w="100"/>
              <w:bottom w:type="dxa" w:w="70"/>
              <w:right w:type="dxa" w:w="100"/>
            </w:tcMar>
            <w:vAlign w:val="center"/>
          </w:tcPr>
          <w:p>
            <w:pPr>
              <w:spacing w:after="0" w:line="240"/>
              <w:jc w:val="left"/>
            </w:pPr>
          </w:p>
        </w:tc>
        <w:tc>
          <w:tcPr>
            <w:tcW w:type="dxa" w:w="3856"/>
            <w:tcMar>
              <w:top w:type="dxa" w:w="70"/>
              <w:left w:type="dxa" w:w="100"/>
              <w:bottom w:type="dxa" w:w="70"/>
              <w:right w:type="dxa" w:w="100"/>
            </w:tcMar>
            <w:vAlign w:val="center"/>
          </w:tcPr>
          <w:p>
            <w:pPr>
              <w:spacing w:after="0" w:line="240"/>
              <w:jc w:val="left"/>
            </w:pPr>
          </w:p>
        </w:tc>
      </w:tr>
      <w:tr>
        <w:trPr>
          <w:cantSplit/>
        </w:trPr>
        <w:tc>
          <w:tcPr>
            <w:tcW w:type="dxa" w:w="385"/>
            <w:tcMar>
              <w:top w:type="dxa" w:w="70"/>
              <w:left w:type="dxa" w:w="100"/>
              <w:bottom w:type="dxa" w:w="70"/>
              <w:right w:type="dxa" w:w="100"/>
            </w:tcMar>
            <w:vAlign w:val="center"/>
          </w:tcPr>
          <w:p>
            <w:pPr>
              <w:spacing w:after="0" w:line="240"/>
              <w:jc w:val="left"/>
            </w:pPr>
          </w:p>
        </w:tc>
        <w:tc>
          <w:tcPr>
            <w:tcW w:type="dxa" w:w="5397"/>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Bilingual Documents and Legal Translation</w:t>
            </w:r>
          </w:p>
        </w:tc>
        <w:tc>
          <w:tcPr>
            <w:tcW w:type="dxa" w:w="3856"/>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`bilingual-documents-and-translation`</w:t>
            </w:r>
          </w:p>
        </w:tc>
      </w:tr>
    </w:tbl>
    <w:p>
      <w:pPr>
        <w:sectPr>
          <w:footerReference w:type="default" r:id="rId11"/>
          <w:footerReference w:type="first" r:id="rId12"/>
          <w:pgSz w:w="11906" w:h="16838" w:orient="portrait"/>
          <w:pgMar w:top="1080" w:right="1134" w:bottom="1080" w:left="1134" w:header="708" w:footer="708" w:gutter="0"/>
          <w:pgNumType/>
          <w:titlePg w:val="false"/>
          <w:docGrid w:linePitch="360"/>
        </w:sectPr>
      </w:pPr>
    </w:p>
    <w:p>
      <w:pPr>
        <w:keepNext/>
        <w:spacing w:after="120" w:before="280"/>
        <w:outlineLvl w:val="0"/>
      </w:pPr>
      <w:r>
        <w:rPr>
          <w:rFonts w:ascii="Calibri" w:cs="Calibri" w:eastAsia="Calibri" w:hAnsi="Calibri"/>
          <w:b/>
          <w:bCs/>
          <w:color w:val="14161B"/>
          <w:sz w:val="22"/>
          <w:szCs w:val="22"/>
        </w:rPr>
        <w:t xml:space="preserve">DOCUMENTS WORTH READING BEFORE YOU NEED THEM</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cantSplit/>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Document</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Why</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Annual compliance calendar</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The cascade — tenancy blocks the licence, the licence blocks visas, and so on. Explains why deadlines here are connected</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Commercial agency and distribution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Registration gives statutory protections that are close to irreversible. Read before appointing anyone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Choosing your UAE jurisdiction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Four decisions that are hard to undo, made before incorporation</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End-of-service gratuity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Calculated on basic salary only — which makes the basic-to-allowance split a decision, not a formality</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WPS compliance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Permit consequences from the first offence</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Bilingual documents and translation</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Which documents need Arabic, which already have it, and which do not</w:t>
            </w:r>
          </w:p>
        </w:tc>
      </w:tr>
      <w:tr>
        <w:trPr>
          <w:cantSplit/>
        </w:trP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Group structures</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Nothing is internal across regimes — moving people, money or data crosses a boundary every time</w:t>
            </w:r>
          </w:p>
        </w:tc>
      </w:tr>
    </w:tbl>
    <w:p>
      <w:pPr>
        <w:spacing w:after="160"/>
      </w:pPr>
    </w:p>
    <w:p>
      <w:pPr>
        <w:keepNext/>
        <w:spacing w:after="120" w:before="280"/>
        <w:outlineLvl w:val="0"/>
      </w:pPr>
      <w:r>
        <w:rPr>
          <w:rFonts w:ascii="Calibri" w:cs="Calibri" w:eastAsia="Calibri" w:hAnsi="Calibri"/>
          <w:b/>
          <w:bCs/>
          <w:color w:val="14161B"/>
          <w:sz w:val="22"/>
          <w:szCs w:val="22"/>
        </w:rPr>
        <w:t xml:space="preserve">RECURRING THEMES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cantSplit/>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Theme</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Appears in</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Employer costs can never be recovered from employees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Permits, visas, medicals, Emirates ID, recruitment — recurring across every employment document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Settle within 14 days of the last working day</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Every exit-related document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Pay before cancelling the visa</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Offboarding, redundancy, settlement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Arabic prevails onshore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Every contract intended for an onshore forum</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Attestation takes three to six weeks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Powers of attorney, qualifications, family documents, foreign company documents</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Space determines visa quota</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Premises, tenancy, recruitment</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Substance supports three regimes at once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 residency, QFZP, economic substance</w:t>
            </w:r>
          </w:p>
        </w:tc>
      </w:tr>
      <w:tr>
        <w:trPr>
          <w:cantSplit/>
        </w:trP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Record the reasoning, not just the decision</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Discipline, redundancy, breach assessment, governance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notes are the product</w:t>
      </w:r>
    </w:p>
    <w:p>
      <w:pPr>
        <w:spacing w:after="60" w:line="264"/>
        <w:jc w:val="both"/>
      </w:pPr>
      <w:r>
        <w:rPr>
          <w:rFonts w:ascii="Calibri" w:cs="Calibri" w:eastAsia="Calibri" w:hAnsi="Calibri"/>
          <w:sz w:val="19"/>
          <w:szCs w:val="19"/>
        </w:rPr>
        <w:t xml:space="preserve">Templates are widely available; what is scarce is knowing where they fail in practice. Every document ends with fifteen notes drawn from how these arrangements actually go wrong in the UAE. Read them before adapting the template.</w:t>
      </w:r>
    </w:p>
    <w:p>
      <w:pPr>
        <w:keepNext/>
        <w:spacing w:after="40" w:before="140"/>
      </w:pPr>
      <w:r>
        <w:rPr>
          <w:rFonts w:ascii="Calibri" w:cs="Calibri" w:eastAsia="Calibri" w:hAnsi="Calibri"/>
          <w:b/>
          <w:bCs/>
          <w:color w:val="14161B"/>
          <w:sz w:val="20"/>
          <w:szCs w:val="20"/>
        </w:rPr>
        <w:t xml:space="preserve">Jurisdiction first, always</w:t>
      </w:r>
    </w:p>
    <w:p>
      <w:pPr>
        <w:spacing w:after="60" w:line="264"/>
        <w:jc w:val="both"/>
      </w:pPr>
      <w:r>
        <w:rPr>
          <w:rFonts w:ascii="Calibri" w:cs="Calibri" w:eastAsia="Calibri" w:hAnsi="Calibri"/>
          <w:sz w:val="19"/>
          <w:szCs w:val="19"/>
        </w:rPr>
        <w:t xml:space="preserve">Mainland, free zone, DIFC and ADGM differ on employment law, end-of-service mechanics, data protection and share transfers. Using a mainland document for a DIFC entity produces something wrong on several terms at once.</w:t>
      </w:r>
    </w:p>
    <w:p>
      <w:pPr>
        <w:keepNext/>
        <w:spacing w:after="40" w:before="140"/>
      </w:pPr>
      <w:r>
        <w:rPr>
          <w:rFonts w:ascii="Calibri" w:cs="Calibri" w:eastAsia="Calibri" w:hAnsi="Calibri"/>
          <w:b/>
          <w:bCs/>
          <w:color w:val="14161B"/>
          <w:sz w:val="20"/>
          <w:szCs w:val="20"/>
        </w:rPr>
        <w:t xml:space="preserve">Placeholders are decisions, not blanks</w:t>
      </w:r>
    </w:p>
    <w:p>
      <w:pPr>
        <w:spacing w:after="60" w:line="264"/>
        <w:jc w:val="both"/>
      </w:pPr>
      <w:r>
        <w:rPr>
          <w:rFonts w:ascii="Calibri" w:cs="Calibri" w:eastAsia="Calibri" w:hAnsi="Calibri"/>
          <w:sz w:val="19"/>
          <w:szCs w:val="19"/>
        </w:rPr>
        <w:t xml:space="preserve">Each one marks a choice someone has to make — a notice period, a liability cap, a governing law. Filling them in mechanically without deciding is how a template becomes a liability.</w:t>
      </w:r>
    </w:p>
    <w:p>
      <w:pPr>
        <w:keepNext/>
        <w:spacing w:after="40" w:before="140"/>
      </w:pPr>
      <w:r>
        <w:rPr>
          <w:rFonts w:ascii="Calibri" w:cs="Calibri" w:eastAsia="Calibri" w:hAnsi="Calibri"/>
          <w:b/>
          <w:bCs/>
          <w:color w:val="14161B"/>
          <w:sz w:val="20"/>
          <w:szCs w:val="20"/>
        </w:rPr>
        <w:t xml:space="preserve">Verify anything with a number in it</w:t>
      </w:r>
    </w:p>
    <w:p>
      <w:pPr>
        <w:spacing w:after="60" w:line="264"/>
        <w:jc w:val="both"/>
      </w:pPr>
      <w:r>
        <w:rPr>
          <w:rFonts w:ascii="Calibri" w:cs="Calibri" w:eastAsia="Calibri" w:hAnsi="Calibri"/>
          <w:sz w:val="19"/>
          <w:szCs w:val="19"/>
        </w:rPr>
        <w:t xml:space="preserve">Emiratisation targets, tax thresholds, penalty levels, contribution rates and visa criteria change, several of them annually. Any figure in a template is a snapshot of when it was written.</w:t>
      </w:r>
    </w:p>
    <w:p>
      <w:pPr>
        <w:keepNext/>
        <w:spacing w:after="40" w:before="140"/>
      </w:pPr>
      <w:r>
        <w:rPr>
          <w:rFonts w:ascii="Calibri" w:cs="Calibri" w:eastAsia="Calibri" w:hAnsi="Calibri"/>
          <w:b/>
          <w:bCs/>
          <w:color w:val="14161B"/>
          <w:sz w:val="20"/>
          <w:szCs w:val="20"/>
        </w:rPr>
        <w:t xml:space="preserve">Some positions are genuinely unresolved</w:t>
      </w:r>
    </w:p>
    <w:p>
      <w:pPr>
        <w:spacing w:after="60" w:line="264"/>
        <w:jc w:val="both"/>
      </w:pPr>
      <w:r>
        <w:rPr>
          <w:rFonts w:ascii="Calibri" w:cs="Calibri" w:eastAsia="Calibri" w:hAnsi="Calibri"/>
          <w:sz w:val="19"/>
          <w:szCs w:val="19"/>
        </w:rPr>
        <w:t xml:space="preserve">Where a document says to confirm something rather than stating it, that reflects genuine inconsistency in the available sources — the PDPL Executive Regulations, e-invoicing phasing, cheque enforcement and economic substance among them. Verify rather than assume.</w:t>
      </w:r>
    </w:p>
    <w:p>
      <w:pPr>
        <w:keepNext/>
        <w:spacing w:after="40" w:before="140"/>
      </w:pPr>
      <w:r>
        <w:rPr>
          <w:rFonts w:ascii="Calibri" w:cs="Calibri" w:eastAsia="Calibri" w:hAnsi="Calibri"/>
          <w:b/>
          <w:bCs/>
          <w:color w:val="14161B"/>
          <w:sz w:val="20"/>
          <w:szCs w:val="20"/>
        </w:rPr>
        <w:t xml:space="preserve">These are starting points, not advice</w:t>
      </w:r>
    </w:p>
    <w:p>
      <w:pPr>
        <w:spacing w:after="60" w:line="264"/>
        <w:jc w:val="both"/>
      </w:pPr>
      <w:r>
        <w:rPr>
          <w:rFonts w:ascii="Calibri" w:cs="Calibri" w:eastAsia="Calibri" w:hAnsi="Calibri"/>
          <w:sz w:val="19"/>
          <w:szCs w:val="19"/>
        </w:rPr>
        <w:t xml:space="preserve">Nothing here is a substitute for a UAE lawyer on a material matter. The documents are drafted to make the conversation with an adviser shorter and better informed, not to replace it.</w:t>
      </w:r>
    </w:p>
    <w:p>
      <w:pPr>
        <w:keepNext/>
        <w:spacing w:after="40" w:before="140"/>
      </w:pPr>
      <w:r>
        <w:rPr>
          <w:rFonts w:ascii="Calibri" w:cs="Calibri" w:eastAsia="Calibri" w:hAnsi="Calibri"/>
          <w:b/>
          <w:bCs/>
          <w:color w:val="14161B"/>
          <w:sz w:val="20"/>
          <w:szCs w:val="20"/>
        </w:rPr>
        <w:t xml:space="preserve">Bilingual is a separate decision</w:t>
      </w:r>
    </w:p>
    <w:p>
      <w:pPr>
        <w:spacing w:after="60" w:line="264"/>
        <w:jc w:val="both"/>
      </w:pPr>
      <w:r>
        <w:rPr>
          <w:rFonts w:ascii="Calibri" w:cs="Calibri" w:eastAsia="Calibri" w:hAnsi="Calibri"/>
          <w:sz w:val="19"/>
          <w:szCs w:val="19"/>
        </w:rPr>
        <w:t xml:space="preserve">Mainland documents intended to govern need certified Arabic from a Ministry of Justice licensed translator. The bilingual guidance document sorts every category and explains which documents already exist bilingually from the authority.</w:t>
      </w:r>
    </w:p>
    <w:p>
      <w:pPr>
        <w:keepNext/>
        <w:spacing w:after="40" w:before="140"/>
      </w:pPr>
      <w:r>
        <w:rPr>
          <w:rFonts w:ascii="Calibri" w:cs="Calibri" w:eastAsia="Calibri" w:hAnsi="Calibri"/>
          <w:b/>
          <w:bCs/>
          <w:color w:val="14161B"/>
          <w:sz w:val="20"/>
          <w:szCs w:val="20"/>
        </w:rPr>
        <w:t xml:space="preserve">Check the cluster, not just the title</w:t>
      </w:r>
    </w:p>
    <w:p>
      <w:pPr>
        <w:spacing w:after="60" w:line="264"/>
        <w:jc w:val="both"/>
      </w:pPr>
      <w:r>
        <w:rPr>
          <w:rFonts w:ascii="Calibri" w:cs="Calibri" w:eastAsia="Calibri" w:hAnsi="Calibri"/>
          <w:sz w:val="19"/>
          <w:szCs w:val="19"/>
        </w:rPr>
        <w:t xml:space="preserve">Several topics appear in more than one place — data protection across four regimes, employment across mainland and the financial free zones. The index shows which version applies to which entity.</w:t>
      </w:r>
    </w:p>
    <w:p>
      <w:pPr>
        <w:keepNext/>
        <w:spacing w:after="40" w:before="140"/>
      </w:pPr>
      <w:r>
        <w:rPr>
          <w:rFonts w:ascii="Calibri" w:cs="Calibri" w:eastAsia="Calibri" w:hAnsi="Calibri"/>
          <w:b/>
          <w:bCs/>
          <w:color w:val="14161B"/>
          <w:sz w:val="20"/>
          <w:szCs w:val="20"/>
        </w:rPr>
        <w:t xml:space="preserve">Adapt, do not just fill in</w:t>
      </w:r>
    </w:p>
    <w:p>
      <w:pPr>
        <w:spacing w:after="60" w:line="264"/>
        <w:jc w:val="both"/>
      </w:pPr>
      <w:r>
        <w:rPr>
          <w:rFonts w:ascii="Calibri" w:cs="Calibri" w:eastAsia="Calibri" w:hAnsi="Calibri"/>
          <w:sz w:val="19"/>
          <w:szCs w:val="19"/>
        </w:rPr>
        <w:t xml:space="preserve">A template reflects a common case. Where the business is unusual, the clause that needs changing is usually the one that looks least remarkable.</w:t>
      </w:r>
    </w:p>
    <w:p>
      <w:pPr>
        <w:keepNext/>
        <w:spacing w:after="40" w:before="140"/>
      </w:pPr>
      <w:r>
        <w:rPr>
          <w:rFonts w:ascii="Calibri" w:cs="Calibri" w:eastAsia="Calibri" w:hAnsi="Calibri"/>
          <w:b/>
          <w:bCs/>
          <w:color w:val="14161B"/>
          <w:sz w:val="20"/>
          <w:szCs w:val="20"/>
        </w:rPr>
        <w:t xml:space="preserve">Keep the completed versions</w:t>
      </w:r>
    </w:p>
    <w:p>
      <w:pPr>
        <w:spacing w:after="60" w:line="264"/>
        <w:jc w:val="both"/>
      </w:pPr>
      <w:r>
        <w:rPr>
          <w:rFonts w:ascii="Calibri" w:cs="Calibri" w:eastAsia="Calibri" w:hAnsi="Calibri"/>
          <w:sz w:val="19"/>
          <w:szCs w:val="19"/>
        </w:rPr>
        <w:t xml:space="preserve">Signed originals, notarised documents and their Arabic versions belong in an organised corporate file. Reconstructing them later at a financing or a sale is painful and sometimes impossible.</w:t>
      </w:r>
    </w:p>
    <w:p>
      <w:pPr>
        <w:keepNext/>
        <w:spacing w:after="40" w:before="140"/>
      </w:pPr>
      <w:r>
        <w:rPr>
          <w:rFonts w:ascii="Calibri" w:cs="Calibri" w:eastAsia="Calibri" w:hAnsi="Calibri"/>
          <w:b/>
          <w:bCs/>
          <w:color w:val="14161B"/>
          <w:sz w:val="20"/>
          <w:szCs w:val="20"/>
        </w:rPr>
        <w:t xml:space="preserve">Review annually</w:t>
      </w:r>
    </w:p>
    <w:p>
      <w:pPr>
        <w:spacing w:after="60" w:line="264"/>
        <w:jc w:val="both"/>
      </w:pPr>
      <w:r>
        <w:rPr>
          <w:rFonts w:ascii="Calibri" w:cs="Calibri" w:eastAsia="Calibri" w:hAnsi="Calibri"/>
          <w:sz w:val="19"/>
          <w:szCs w:val="19"/>
        </w:rPr>
        <w:t xml:space="preserve">Set a date to check the documents in use against current requirements. The compliance calendar is the natural anchor for that review.</w:t>
      </w:r>
    </w:p>
    <w:p>
      <w:pPr>
        <w:keepNext/>
        <w:spacing w:after="40" w:before="140"/>
      </w:pPr>
      <w:r>
        <w:rPr>
          <w:rFonts w:ascii="Calibri" w:cs="Calibri" w:eastAsia="Calibri" w:hAnsi="Calibri"/>
          <w:b/>
          <w:bCs/>
          <w:color w:val="14161B"/>
          <w:sz w:val="20"/>
          <w:szCs w:val="20"/>
        </w:rPr>
        <w:t xml:space="preserve">Free zone and financial free zone entities need their own set</w:t>
      </w:r>
    </w:p>
    <w:p>
      <w:pPr>
        <w:spacing w:after="60" w:line="264"/>
        <w:jc w:val="both"/>
      </w:pPr>
      <w:r>
        <w:rPr>
          <w:rFonts w:ascii="Calibri" w:cs="Calibri" w:eastAsia="Calibri" w:hAnsi="Calibri"/>
          <w:sz w:val="19"/>
          <w:szCs w:val="19"/>
        </w:rPr>
        <w:t xml:space="preserve">Not an adapted mainland set. Where a group spans regimes, it needs parallel document sets rather than one applied across all entities.</w:t>
      </w:r>
    </w:p>
    <w:p>
      <w:pPr>
        <w:keepNext/>
        <w:spacing w:after="40" w:before="140"/>
      </w:pPr>
      <w:r>
        <w:rPr>
          <w:rFonts w:ascii="Calibri" w:cs="Calibri" w:eastAsia="Calibri" w:hAnsi="Calibri"/>
          <w:b/>
          <w:bCs/>
          <w:color w:val="14161B"/>
          <w:sz w:val="20"/>
          <w:szCs w:val="20"/>
        </w:rPr>
        <w:t xml:space="preserve">The recurring themes are the real curriculum</w:t>
      </w:r>
    </w:p>
    <w:p>
      <w:pPr>
        <w:spacing w:after="60" w:line="264"/>
        <w:jc w:val="both"/>
      </w:pPr>
      <w:r>
        <w:rPr>
          <w:rFonts w:ascii="Calibri" w:cs="Calibri" w:eastAsia="Calibri" w:hAnsi="Calibri"/>
          <w:sz w:val="19"/>
          <w:szCs w:val="19"/>
        </w:rPr>
        <w:t xml:space="preserve">Employer costs, the fourteen-day rule, paying before cancelling, the prevailing Arabic text, attestation lead times. These appear across many documents because they cause problems across many situations.</w:t>
      </w:r>
    </w:p>
    <w:p>
      <w:pPr>
        <w:keepNext/>
        <w:spacing w:after="40" w:before="140"/>
      </w:pPr>
      <w:r>
        <w:rPr>
          <w:rFonts w:ascii="Calibri" w:cs="Calibri" w:eastAsia="Calibri" w:hAnsi="Calibri"/>
          <w:b/>
          <w:bCs/>
          <w:color w:val="14161B"/>
          <w:sz w:val="20"/>
          <w:szCs w:val="20"/>
        </w:rPr>
        <w:t xml:space="preserve">Where a document says take advice, it means it</w:t>
      </w:r>
    </w:p>
    <w:p>
      <w:pPr>
        <w:spacing w:after="60" w:line="264"/>
        <w:jc w:val="both"/>
      </w:pPr>
      <w:r>
        <w:rPr>
          <w:rFonts w:ascii="Calibri" w:cs="Calibri" w:eastAsia="Calibri" w:hAnsi="Calibri"/>
          <w:sz w:val="19"/>
          <w:szCs w:val="19"/>
        </w:rPr>
        <w:t xml:space="preserve">Registered agencies, guarantees, terminations, insolvency and anything involving a notary are the areas where the cost of advice is trivial against the cost of getting it wrong.</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This library reflects UAE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Every document carries its own currency note. Federal law, Cabinet Decisions, free zone rules and emirate-level requirements all change — confirm the current position with the relevant authority before relying on any document here.</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2026-08-23T16:28:33.722Z</dcterms:created>
  <dcterms:modified xsi:type="dcterms:W3CDTF">2026-08-23T16:28:33.722Z</dcterms:modified>
</cp:coreProperties>
</file>

<file path=docProps/custom.xml><?xml version="1.0" encoding="utf-8"?>
<Properties xmlns="http://schemas.openxmlformats.org/officeDocument/2006/custom-properties" xmlns:vt="http://schemas.openxmlformats.org/officeDocument/2006/docPropsVTypes"/>
</file>