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LEAVE</w:t>
      </w:r>
    </w:p>
    <w:p>
      <w:pPr>
        <w:spacing w:after="260"/>
        <w:jc w:val="center"/>
      </w:pPr>
      <w:r>
        <w:rPr>
          <w:rFonts w:ascii="Calibri" w:cs="Calibri" w:eastAsia="Calibri" w:hAnsi="Calibri"/>
          <w:i/>
          <w:iCs/>
          <w:color w:val="6E7480"/>
          <w:sz w:val="19"/>
          <w:szCs w:val="19"/>
        </w:rPr>
        <w:t xml:space="preserve">Entitlements, requests and records</w:t>
      </w:r>
    </w:p>
    <w:p>
      <w:pPr>
        <w:spacing w:after="180" w:before="0" w:line="276"/>
        <w:jc w:val="both"/>
      </w:pPr>
      <w:r>
        <w:rPr>
          <w:rFonts w:ascii="Calibri" w:cs="Calibri" w:eastAsia="Calibri" w:hAnsi="Calibri"/>
          <w:i/>
          <w:iCs/>
          <w:color w:val="6E7480"/>
          <w:sz w:val="21"/>
          <w:szCs w:val="21"/>
        </w:rPr>
        <w:t xml:space="preserve">The entitlements themselves are straightforward. What generates disputes is </w:t>
      </w:r>
      <w:r>
        <w:rPr>
          <w:rFonts w:ascii="Calibri" w:cs="Calibri" w:eastAsia="Calibri" w:hAnsi="Calibri"/>
          <w:b/>
          <w:bCs/>
          <w:i/>
          <w:iCs/>
          <w:color w:val="6E7480"/>
          <w:sz w:val="21"/>
          <w:szCs w:val="21"/>
        </w:rPr>
        <w:t xml:space="preserve">accrual and encashment on exit</w:t>
      </w:r>
      <w:r>
        <w:rPr>
          <w:rFonts w:ascii="Calibri" w:cs="Calibri" w:eastAsia="Calibri" w:hAnsi="Calibri"/>
          <w:i/>
          <w:iCs/>
          <w:color w:val="6E7480"/>
          <w:sz w:val="21"/>
          <w:szCs w:val="21"/>
        </w:rPr>
        <w:t xml:space="preserve"> — annual leave accrues from the first day of service, unused leave is paid on termination, and the daily rate used is where employers and employees most often disagree. Reconcile leave to records monthly, not at exit.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Federal Decree-Law 33/2021]</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Leave year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Requests through</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[SYSTEM]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for annual leave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[14]</w:t>
            </w:r>
            <w:r>
              <w:rPr>
                <w:rFonts w:ascii="Calibri" w:cs="Calibri" w:eastAsia="Calibri" w:hAnsi="Calibri"/>
                <w:sz w:val="19"/>
                <w:szCs w:val="19"/>
              </w:rPr>
              <w:t xml:space="preserve"> days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Carry-forward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[Permitted up to ______ days / Not permitted]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Encashment during employment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[Permitted as agreed / Not permitted]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Records held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 and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ENTITLEMENTS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4433"/>
        <w:gridCol w:w="3278"/>
      </w:tblGrid>
      <w:tr>
        <w:trPr>
          <w:cantSplit/>
          <w:tblHeader/>
        </w:trPr>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Type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Entitlement</w:t>
            </w:r>
          </w:p>
        </w:tc>
        <w:tc>
          <w:tcPr>
            <w:tcW w:type="dxa" w:w="32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Annual leave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30 calendar days</w:t>
            </w:r>
            <w:r>
              <w:rPr>
                <w:rFonts w:ascii="Calibri" w:cs="Calibri" w:eastAsia="Calibri" w:hAnsi="Calibri"/>
                <w:sz w:val="17"/>
                <w:szCs w:val="17"/>
              </w:rPr>
              <w:t xml:space="preserve"> per year after one year of service; </w:t>
            </w:r>
            <w:r>
              <w:rPr>
                <w:rFonts w:ascii="Calibri" w:cs="Calibri" w:eastAsia="Calibri" w:hAnsi="Calibri"/>
                <w:b/>
                <w:bCs/>
                <w:sz w:val="17"/>
                <w:szCs w:val="17"/>
              </w:rPr>
              <w:t xml:space="preserve">2 days per month</w:t>
            </w:r>
            <w:r>
              <w:rPr>
                <w:rFonts w:ascii="Calibri" w:cs="Calibri" w:eastAsia="Calibri" w:hAnsi="Calibri"/>
                <w:sz w:val="17"/>
                <w:szCs w:val="17"/>
              </w:rPr>
              <w:t xml:space="preserve"> between six months and one year</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Full pay</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Public holidays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gazetted</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Full pay</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Sick leave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 to </w:t>
            </w:r>
            <w:r>
              <w:rPr>
                <w:rFonts w:ascii="Calibri" w:cs="Calibri" w:eastAsia="Calibri" w:hAnsi="Calibri"/>
                <w:b/>
                <w:bCs/>
                <w:sz w:val="17"/>
                <w:szCs w:val="17"/>
              </w:rPr>
              <w:t xml:space="preserve">90 days</w:t>
            </w:r>
            <w:r>
              <w:rPr>
                <w:rFonts w:ascii="Calibri" w:cs="Calibri" w:eastAsia="Calibri" w:hAnsi="Calibri"/>
                <w:sz w:val="17"/>
                <w:szCs w:val="17"/>
              </w:rPr>
              <w:t xml:space="preserve"> per year, after probation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First 15 days full pay; next 30 days half pay; remaining 45 unpaid</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Maternity leave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60 days</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45 days full pay; 15 days half pay</w:t>
            </w:r>
            <w:r>
              <w:rPr>
                <w:rFonts w:ascii="Calibri" w:cs="Calibri" w:eastAsia="Calibri" w:hAnsi="Calibri"/>
                <w:sz w:val="17"/>
                <w:szCs w:val="17"/>
              </w:rPr>
              <w:t xml:space="preserve">, with further unpaid entitlement in defined circumstances</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Nursing breaks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 the period the Law provides after returning</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Paid</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Parental leave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5 working days</w:t>
            </w:r>
            <w:r>
              <w:rPr>
                <w:rFonts w:ascii="Calibri" w:cs="Calibri" w:eastAsia="Calibri" w:hAnsi="Calibri"/>
                <w:sz w:val="17"/>
                <w:szCs w:val="17"/>
              </w:rPr>
              <w:t xml:space="preserve"> for either parent, within six months of the birth</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Full pay</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Bereavement leave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[5]</w:t>
            </w:r>
            <w:r>
              <w:rPr>
                <w:rFonts w:ascii="Calibri" w:cs="Calibri" w:eastAsia="Calibri" w:hAnsi="Calibri"/>
                <w:sz w:val="17"/>
                <w:szCs w:val="17"/>
              </w:rPr>
              <w:t xml:space="preserve"> days for a spouse; </w:t>
            </w:r>
            <w:r>
              <w:rPr>
                <w:rFonts w:ascii="Calibri" w:cs="Calibri" w:eastAsia="Calibri" w:hAnsi="Calibri"/>
                <w:b/>
                <w:bCs/>
                <w:sz w:val="17"/>
                <w:szCs w:val="17"/>
              </w:rPr>
              <w:t xml:space="preserve">[3]</w:t>
            </w:r>
            <w:r>
              <w:rPr>
                <w:rFonts w:ascii="Calibri" w:cs="Calibri" w:eastAsia="Calibri" w:hAnsi="Calibri"/>
                <w:sz w:val="17"/>
                <w:szCs w:val="17"/>
              </w:rPr>
              <w:t xml:space="preserve"> days for a defined relative</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Full pay</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Study leave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10 days</w:t>
            </w:r>
            <w:r>
              <w:rPr>
                <w:rFonts w:ascii="Calibri" w:cs="Calibri" w:eastAsia="Calibri" w:hAnsi="Calibri"/>
                <w:sz w:val="17"/>
                <w:szCs w:val="17"/>
              </w:rPr>
              <w:t xml:space="preserve"> per year for employees at an accredited UAE institution, subject to service</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Full pay</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Hajj leave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 to </w:t>
            </w:r>
            <w:r>
              <w:rPr>
                <w:rFonts w:ascii="Calibri" w:cs="Calibri" w:eastAsia="Calibri" w:hAnsi="Calibri"/>
                <w:b/>
                <w:bCs/>
                <w:sz w:val="17"/>
                <w:szCs w:val="17"/>
              </w:rPr>
              <w:t xml:space="preserve">30 days</w:t>
            </w:r>
            <w:r>
              <w:rPr>
                <w:rFonts w:ascii="Calibri" w:cs="Calibri" w:eastAsia="Calibri" w:hAnsi="Calibri"/>
                <w:sz w:val="17"/>
                <w:szCs w:val="17"/>
              </w:rPr>
              <w:t xml:space="preserve">, once during service</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Unpaid</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[Compassionate / other]</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[Contractual, not statutory]</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Confirm the current entitlements and pay scales against MOHRE before publishing. Several have been amended since 2022 and templates circulating online are frequently out of date.</w:t>
      </w:r>
    </w:p>
    <w:p>
      <w:pPr>
        <w:keepNext/>
        <w:spacing w:after="120" w:before="280"/>
        <w:outlineLvl w:val="0"/>
      </w:pPr>
      <w:r>
        <w:rPr>
          <w:rFonts w:ascii="Calibri" w:cs="Calibri" w:eastAsia="Calibri" w:hAnsi="Calibri"/>
          <w:b/>
          <w:bCs/>
          <w:color w:val="14161B"/>
          <w:sz w:val="22"/>
          <w:szCs w:val="22"/>
        </w:rPr>
        <w:t xml:space="preserve">2. ANNUAL LEAVE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Annual leave </w:t>
      </w:r>
      <w:r>
        <w:rPr>
          <w:rFonts w:ascii="Calibri" w:cs="Calibri" w:eastAsia="Calibri" w:hAnsi="Calibri"/>
          <w:b/>
          <w:bCs/>
          <w:sz w:val="21"/>
          <w:szCs w:val="21"/>
        </w:rPr>
        <w:t xml:space="preserve">accrues from the first day of service</w:t>
      </w:r>
      <w:r>
        <w:rPr>
          <w:rFonts w:ascii="Calibri" w:cs="Calibri" w:eastAsia="Calibri" w:hAnsi="Calibri"/>
          <w:sz w:val="21"/>
          <w:szCs w:val="21"/>
        </w:rPr>
        <w:t xml:space="preserve">, not from confirmation and not from the first anniversary.</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Requests are made through </w:t>
      </w:r>
      <w:r>
        <w:rPr>
          <w:rFonts w:ascii="Calibri" w:cs="Calibri" w:eastAsia="Calibri" w:hAnsi="Calibri"/>
          <w:b/>
          <w:bCs/>
          <w:sz w:val="21"/>
          <w:szCs w:val="21"/>
        </w:rPr>
        <w:t xml:space="preserve">[SYSTEM]</w:t>
      </w:r>
      <w:r>
        <w:rPr>
          <w:rFonts w:ascii="Calibri" w:cs="Calibri" w:eastAsia="Calibri" w:hAnsi="Calibri"/>
          <w:sz w:val="21"/>
          <w:szCs w:val="21"/>
        </w:rPr>
        <w:t xml:space="preserve"> at least </w:t>
      </w:r>
      <w:r>
        <w:rPr>
          <w:rFonts w:ascii="Calibri" w:cs="Calibri" w:eastAsia="Calibri" w:hAnsi="Calibri"/>
          <w:b/>
          <w:bCs/>
          <w:sz w:val="21"/>
          <w:szCs w:val="21"/>
        </w:rPr>
        <w:t xml:space="preserve">[14]</w:t>
      </w:r>
      <w:r>
        <w:rPr>
          <w:rFonts w:ascii="Calibri" w:cs="Calibri" w:eastAsia="Calibri" w:hAnsi="Calibri"/>
          <w:sz w:val="21"/>
          <w:szCs w:val="21"/>
        </w:rPr>
        <w:t xml:space="preserve"> days in advance and are approved subject to business need.</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Company may require leave to be taken at a particular time, giving reasonable notice.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Leave is calculated in </w:t>
      </w:r>
      <w:r>
        <w:rPr>
          <w:rFonts w:ascii="Calibri" w:cs="Calibri" w:eastAsia="Calibri" w:hAnsi="Calibri"/>
          <w:b/>
          <w:bCs/>
          <w:sz w:val="21"/>
          <w:szCs w:val="21"/>
        </w:rPr>
        <w:t xml:space="preserve">calendar days</w:t>
      </w:r>
      <w:r>
        <w:rPr>
          <w:rFonts w:ascii="Calibri" w:cs="Calibri" w:eastAsia="Calibri" w:hAnsi="Calibri"/>
          <w:sz w:val="21"/>
          <w:szCs w:val="21"/>
        </w:rPr>
        <w:t xml:space="preserve">. Public holidays and weekly rest days falling within a leave period </w:t>
      </w:r>
      <w:r>
        <w:rPr>
          <w:rFonts w:ascii="Calibri" w:cs="Calibri" w:eastAsia="Calibri" w:hAnsi="Calibri"/>
          <w:b/>
          <w:bCs/>
          <w:sz w:val="21"/>
          <w:szCs w:val="21"/>
        </w:rPr>
        <w:t xml:space="preserve">[are / are not]</w:t>
      </w:r>
      <w:r>
        <w:rPr>
          <w:rFonts w:ascii="Calibri" w:cs="Calibri" w:eastAsia="Calibri" w:hAnsi="Calibri"/>
          <w:sz w:val="21"/>
          <w:szCs w:val="21"/>
        </w:rPr>
        <w:t xml:space="preserve"> counted, in accordance with the Law — </w:t>
      </w:r>
      <w:r>
        <w:rPr>
          <w:rFonts w:ascii="Calibri" w:cs="Calibri" w:eastAsia="Calibri" w:hAnsi="Calibri"/>
          <w:i/>
          <w:iCs/>
          <w:sz w:val="21"/>
          <w:szCs w:val="21"/>
        </w:rPr>
        <w:t xml:space="preserve">confirm the current position and state it here consistently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An employee may take leave in the year of joining once six months’ service is completed, at the accrual rate stated.</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b/>
          <w:bCs/>
          <w:sz w:val="21"/>
          <w:szCs w:val="21"/>
        </w:rPr>
        <w:t xml:space="preserve">Carry-forward.</w:t>
      </w:r>
      <w:r>
        <w:rPr>
          <w:rFonts w:ascii="Calibri" w:cs="Calibri" w:eastAsia="Calibri" w:hAnsi="Calibri"/>
          <w:sz w:val="21"/>
          <w:szCs w:val="21"/>
        </w:rPr>
        <w:t xml:space="preserve"> </w:t>
      </w:r>
      <w:r>
        <w:rPr>
          <w:rFonts w:ascii="Calibri" w:cs="Calibri" w:eastAsia="Calibri" w:hAnsi="Calibri"/>
          <w:b/>
          <w:bCs/>
          <w:sz w:val="21"/>
          <w:szCs w:val="21"/>
        </w:rPr>
        <w:t xml:space="preserve">[Up to ______ days may be carried into the next leave year, to be taken by ______ / Leave does not carry forward.]</w:t>
      </w:r>
    </w:p>
    <w:p>
      <w:pPr>
        <w:spacing w:after="120" w:before="60" w:line="276"/>
        <w:ind w:left="720" w:hanging="720"/>
        <w:jc w:val="both"/>
      </w:pPr>
      <w:r>
        <w:rPr>
          <w:rFonts w:ascii="Calibri" w:cs="Calibri" w:eastAsia="Calibri" w:hAnsi="Calibri"/>
          <w:sz w:val="21"/>
          <w:szCs w:val="21"/>
        </w:rPr>
        <w:t xml:space="preserve">2.7	</w:t>
      </w:r>
      <w:r>
        <w:rPr>
          <w:rFonts w:ascii="Calibri" w:cs="Calibri" w:eastAsia="Calibri" w:hAnsi="Calibri"/>
          <w:b/>
          <w:bCs/>
          <w:sz w:val="21"/>
          <w:szCs w:val="21"/>
        </w:rPr>
        <w:t xml:space="preserve">Encashment during employment.</w:t>
      </w:r>
      <w:r>
        <w:rPr>
          <w:rFonts w:ascii="Calibri" w:cs="Calibri" w:eastAsia="Calibri" w:hAnsi="Calibri"/>
          <w:sz w:val="21"/>
          <w:szCs w:val="21"/>
        </w:rPr>
        <w:t xml:space="preserve"> </w:t>
      </w:r>
      <w:r>
        <w:rPr>
          <w:rFonts w:ascii="Calibri" w:cs="Calibri" w:eastAsia="Calibri" w:hAnsi="Calibri"/>
          <w:b/>
          <w:bCs/>
          <w:sz w:val="21"/>
          <w:szCs w:val="21"/>
        </w:rPr>
        <w:t xml:space="preserve">[Permitted only where the Law allows and with the Company’s agreement / Not permitted.]</w:t>
      </w:r>
    </w:p>
    <w:p>
      <w:pPr>
        <w:keepNext/>
        <w:spacing w:after="120" w:before="280"/>
        <w:outlineLvl w:val="0"/>
      </w:pPr>
      <w:r>
        <w:rPr>
          <w:rFonts w:ascii="Calibri" w:cs="Calibri" w:eastAsia="Calibri" w:hAnsi="Calibri"/>
          <w:b/>
          <w:bCs/>
          <w:color w:val="14161B"/>
          <w:sz w:val="22"/>
          <w:szCs w:val="22"/>
        </w:rPr>
        <w:t xml:space="preserve">3. SICK LEAVE</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An employee must notify </w:t>
      </w:r>
      <w:r>
        <w:rPr>
          <w:rFonts w:ascii="Calibri" w:cs="Calibri" w:eastAsia="Calibri" w:hAnsi="Calibri"/>
          <w:b/>
          <w:bCs/>
          <w:sz w:val="21"/>
          <w:szCs w:val="21"/>
        </w:rPr>
        <w:t xml:space="preserve">[ROLE]</w:t>
      </w:r>
      <w:r>
        <w:rPr>
          <w:rFonts w:ascii="Calibri" w:cs="Calibri" w:eastAsia="Calibri" w:hAnsi="Calibri"/>
          <w:sz w:val="21"/>
          <w:szCs w:val="21"/>
        </w:rPr>
        <w:t xml:space="preserve"> within </w:t>
      </w:r>
      <w:r>
        <w:rPr>
          <w:rFonts w:ascii="Calibri" w:cs="Calibri" w:eastAsia="Calibri" w:hAnsi="Calibri"/>
          <w:b/>
          <w:bCs/>
          <w:sz w:val="21"/>
          <w:szCs w:val="21"/>
        </w:rPr>
        <w:t xml:space="preserve">[3]</w:t>
      </w:r>
      <w:r>
        <w:rPr>
          <w:rFonts w:ascii="Calibri" w:cs="Calibri" w:eastAsia="Calibri" w:hAnsi="Calibri"/>
          <w:sz w:val="21"/>
          <w:szCs w:val="21"/>
        </w:rPr>
        <w:t xml:space="preserve"> days of the start of any sickness absence.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A </w:t>
      </w:r>
      <w:r>
        <w:rPr>
          <w:rFonts w:ascii="Calibri" w:cs="Calibri" w:eastAsia="Calibri" w:hAnsi="Calibri"/>
          <w:b/>
          <w:bCs/>
          <w:sz w:val="21"/>
          <w:szCs w:val="21"/>
        </w:rPr>
        <w:t xml:space="preserve">medical certificate</w:t>
      </w:r>
      <w:r>
        <w:rPr>
          <w:rFonts w:ascii="Calibri" w:cs="Calibri" w:eastAsia="Calibri" w:hAnsi="Calibri"/>
          <w:sz w:val="21"/>
          <w:szCs w:val="21"/>
        </w:rPr>
        <w:t xml:space="preserve"> from an approved medical authority is required.</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Sick leave is not available during probation, save as the Law provides.</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Sick leave is paid on the descending scale in Section 1. Where entitlement is exhausted, further absence is unpaid.</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Sick leave arising from an employee’s own misconduct may not attract pay, as the Law provides.</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b/>
          <w:bCs/>
          <w:sz w:val="21"/>
          <w:szCs w:val="21"/>
        </w:rPr>
        <w:t xml:space="preserve">Work injuries are dealt with separately</w:t>
      </w:r>
      <w:r>
        <w:rPr>
          <w:rFonts w:ascii="Calibri" w:cs="Calibri" w:eastAsia="Calibri" w:hAnsi="Calibri"/>
          <w:sz w:val="21"/>
          <w:szCs w:val="21"/>
        </w:rPr>
        <w:t xml:space="preserve"> under the work injury compensation regime, not under sick leave.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FAMILY LEAVE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Maternity leave</w:t>
      </w:r>
      <w:r>
        <w:rPr>
          <w:rFonts w:ascii="Calibri" w:cs="Calibri" w:eastAsia="Calibri" w:hAnsi="Calibri"/>
          <w:sz w:val="21"/>
          <w:szCs w:val="21"/>
        </w:rPr>
        <w:t xml:space="preserve"> is 60 days — 45 on full pay and 15 on half pay — and may be taken from before the expected date.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Further unpaid leave is available in the circumstances the Law provides, including illness related to the pregnancy or birth, and where the child is born with a condition requiring care.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Nursing breaks</w:t>
      </w:r>
      <w:r>
        <w:rPr>
          <w:rFonts w:ascii="Calibri" w:cs="Calibri" w:eastAsia="Calibri" w:hAnsi="Calibri"/>
          <w:sz w:val="21"/>
          <w:szCs w:val="21"/>
        </w:rPr>
        <w:t xml:space="preserve"> are available on return for the period the Law provides, and are paid.</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b/>
          <w:bCs/>
          <w:sz w:val="21"/>
          <w:szCs w:val="21"/>
        </w:rPr>
        <w:t xml:space="preserve">Parental leave</w:t>
      </w:r>
      <w:r>
        <w:rPr>
          <w:rFonts w:ascii="Calibri" w:cs="Calibri" w:eastAsia="Calibri" w:hAnsi="Calibri"/>
          <w:sz w:val="21"/>
          <w:szCs w:val="21"/>
        </w:rPr>
        <w:t xml:space="preserve"> of 5 working days is available to either parent within six months of the birth.</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b/>
          <w:bCs/>
          <w:sz w:val="21"/>
          <w:szCs w:val="21"/>
        </w:rPr>
        <w:t xml:space="preserve">An employee may not be dismissed, or given notice, because of pregnancy or maternity leave.</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i/>
          <w:iCs/>
          <w:sz w:val="21"/>
          <w:szCs w:val="21"/>
        </w:rPr>
        <w:t xml:space="preserve">Vesting of leave, service for gratuity and annual leave accrual all continue during paid statutory leave. Suspending them is a common and indefensible error.</w:t>
      </w:r>
    </w:p>
    <w:p>
      <w:pPr>
        <w:keepNext/>
        <w:spacing w:after="120" w:before="280"/>
        <w:outlineLvl w:val="0"/>
      </w:pPr>
      <w:r>
        <w:rPr>
          <w:rFonts w:ascii="Calibri" w:cs="Calibri" w:eastAsia="Calibri" w:hAnsi="Calibri"/>
          <w:b/>
          <w:bCs/>
          <w:color w:val="14161B"/>
          <w:sz w:val="22"/>
          <w:szCs w:val="22"/>
        </w:rPr>
        <w:t xml:space="preserve">5. RECORDS AND EXIT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011"/>
        <w:gridCol w:w="2505"/>
        <w:gridCol w:w="1737"/>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Control</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Frequency</w:t>
            </w:r>
          </w:p>
        </w:tc>
        <w:tc>
          <w:tcPr>
            <w:tcW w:type="dxa" w:w="173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Leave balances reconciled to the system</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Monthly</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Accrual applied from the first day of service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Continuous</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Unpaid leave recorded separately — </w:t>
            </w:r>
            <w:r>
              <w:rPr>
                <w:rFonts w:ascii="Calibri" w:cs="Calibri" w:eastAsia="Calibri" w:hAnsi="Calibri"/>
                <w:b/>
                <w:bCs/>
                <w:sz w:val="17"/>
                <w:szCs w:val="17"/>
              </w:rPr>
              <w:t xml:space="preserve">it reduces gratuity service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occurrence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Medical certificates filed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receipt</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Carry-forward applied consistently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 year end</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Balances shown to employees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Monthly with payslip</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Encashment on exit computed and shown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 exit</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Records retained for the statutory period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On termination</w:t>
      </w:r>
      <w:r>
        <w:rPr>
          <w:rFonts w:ascii="Calibri" w:cs="Calibri" w:eastAsia="Calibri" w:hAnsi="Calibri"/>
          <w:sz w:val="21"/>
          <w:szCs w:val="21"/>
        </w:rPr>
        <w:t xml:space="preserve">, an employee is paid for untaken annual leave accrued to the last working day. This forms part of the settlement due </w:t>
      </w:r>
      <w:r>
        <w:rPr>
          <w:rFonts w:ascii="Calibri" w:cs="Calibri" w:eastAsia="Calibri" w:hAnsi="Calibri"/>
          <w:b/>
          <w:bCs/>
          <w:sz w:val="21"/>
          <w:szCs w:val="21"/>
        </w:rPr>
        <w:t xml:space="preserve">within 14 days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settlement statement should show </w:t>
      </w:r>
      <w:r>
        <w:rPr>
          <w:rFonts w:ascii="Calibri" w:cs="Calibri" w:eastAsia="Calibri" w:hAnsi="Calibri"/>
          <w:b/>
          <w:bCs/>
          <w:sz w:val="21"/>
          <w:szCs w:val="21"/>
        </w:rPr>
        <w:t xml:space="preserve">days accrued, days taken, days remaining and the daily rate applied</w:t>
      </w:r>
      <w:r>
        <w:rPr>
          <w:rFonts w:ascii="Calibri" w:cs="Calibri" w:eastAsia="Calibri" w:hAnsi="Calibri"/>
          <w:sz w:val="21"/>
          <w:szCs w:val="21"/>
        </w:rPr>
        <w:t xml:space="preserve">. A bare figure invites a challenge, and leave encashment is the second most disputed line after gratuity.</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i/>
          <w:iCs/>
          <w:sz w:val="21"/>
          <w:szCs w:val="21"/>
        </w:rPr>
        <w:t xml:space="preserve">Unpaid leave is excluded from service for gratuity purposes. Track it contemporaneously — reconstructing unpaid periods years later at exit is where the arithmetic falls apart.</w:t>
      </w:r>
    </w:p>
    <w:p>
      <w:pPr>
        <w:keepNext/>
        <w:spacing w:after="120" w:before="280"/>
        <w:outlineLvl w:val="0"/>
      </w:pPr>
      <w:r>
        <w:rPr>
          <w:rFonts w:ascii="Calibri" w:cs="Calibri" w:eastAsia="Calibri" w:hAnsi="Calibri"/>
          <w:b/>
          <w:bCs/>
          <w:color w:val="14161B"/>
          <w:sz w:val="22"/>
          <w:szCs w:val="22"/>
        </w:rPr>
        <w:t xml:space="preserve">6. LEAVE RECORD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927"/>
        <w:gridCol w:w="1156"/>
        <w:gridCol w:w="1156"/>
        <w:gridCol w:w="1060"/>
        <w:gridCol w:w="1156"/>
        <w:gridCol w:w="1252"/>
        <w:gridCol w:w="1546"/>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Employee</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Joined</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Accrued</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Taken</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Balance</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Unpaid days</w:t>
            </w:r>
          </w:p>
        </w:tc>
        <w:tc>
          <w:tcPr>
            <w:tcW w:type="dxa" w:w="154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c>
          <w:tcPr>
            <w:tcW w:type="dxa" w:w="154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c>
          <w:tcPr>
            <w:tcW w:type="dxa" w:w="154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c>
          <w:tcPr>
            <w:tcW w:type="dxa" w:w="154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bl>
    <w:p>
      <w:pPr>
        <w:spacing w:after="160"/>
      </w:pPr>
    </w:p>
    <w:p>
      <w:pPr>
        <w:spacing w:after="150" w:before="0" w:line="276"/>
        <w:jc w:val="both"/>
      </w:pPr>
      <w:r>
        <w:rPr>
          <w:rFonts w:ascii="Calibri" w:cs="Calibri" w:eastAsia="Calibri" w:hAnsi="Calibri"/>
          <w:b/>
          <w:bCs/>
          <w:sz w:val="21"/>
          <w:szCs w:val="21"/>
        </w:rPr>
        <w:t xml:space="preserve">Acknowledgement.</w:t>
      </w:r>
      <w:r>
        <w:rPr>
          <w:rFonts w:ascii="Calibri" w:cs="Calibri" w:eastAsia="Calibri" w:hAnsi="Calibri"/>
          <w:sz w:val="21"/>
          <w:szCs w:val="21"/>
        </w:rPr>
        <w:t xml:space="preserve"> I confirm that I have received this policy and understand how to request leave.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Accrual runs from day one</w:t>
      </w:r>
    </w:p>
    <w:p>
      <w:pPr>
        <w:spacing w:after="60" w:line="264"/>
        <w:jc w:val="both"/>
      </w:pPr>
      <w:r>
        <w:rPr>
          <w:rFonts w:ascii="Calibri" w:cs="Calibri" w:eastAsia="Calibri" w:hAnsi="Calibri"/>
          <w:sz w:val="19"/>
          <w:szCs w:val="19"/>
        </w:rPr>
        <w:t xml:space="preserve">Annual leave accrues from the first day of service, not from confirmation and not from the first anniversary. Employers who start the clock at confirmation under-accrue for every employee, and the shortfall surfaces at exit as an encashment dispute.</w:t>
      </w:r>
    </w:p>
    <w:p>
      <w:pPr>
        <w:keepNext/>
        <w:spacing w:after="40" w:before="140"/>
      </w:pPr>
      <w:r>
        <w:rPr>
          <w:rFonts w:ascii="Calibri" w:cs="Calibri" w:eastAsia="Calibri" w:hAnsi="Calibri"/>
          <w:b/>
          <w:bCs/>
          <w:color w:val="14161B"/>
          <w:sz w:val="20"/>
          <w:szCs w:val="20"/>
        </w:rPr>
        <w:t xml:space="preserve">Reconcile monthly, not at exit</w:t>
      </w:r>
    </w:p>
    <w:p>
      <w:pPr>
        <w:spacing w:after="60" w:line="264"/>
        <w:jc w:val="both"/>
      </w:pPr>
      <w:r>
        <w:rPr>
          <w:rFonts w:ascii="Calibri" w:cs="Calibri" w:eastAsia="Calibri" w:hAnsi="Calibri"/>
          <w:sz w:val="19"/>
          <w:szCs w:val="19"/>
        </w:rPr>
        <w:t xml:space="preserve">Leave encashment is the second most disputed line in a final settlement after gratuity. Reconciling balances monthly and showing them on the payslip means the figure at exit is already agreed. Reconstructing three years of leave in fourteen days does not work.</w:t>
      </w:r>
    </w:p>
    <w:p>
      <w:pPr>
        <w:keepNext/>
        <w:spacing w:after="40" w:before="140"/>
      </w:pPr>
      <w:r>
        <w:rPr>
          <w:rFonts w:ascii="Calibri" w:cs="Calibri" w:eastAsia="Calibri" w:hAnsi="Calibri"/>
          <w:b/>
          <w:bCs/>
          <w:color w:val="14161B"/>
          <w:sz w:val="20"/>
          <w:szCs w:val="20"/>
        </w:rPr>
        <w:t xml:space="preserve">Track unpaid leave separately</w:t>
      </w:r>
    </w:p>
    <w:p>
      <w:pPr>
        <w:spacing w:after="60" w:line="264"/>
        <w:jc w:val="both"/>
      </w:pPr>
      <w:r>
        <w:rPr>
          <w:rFonts w:ascii="Calibri" w:cs="Calibri" w:eastAsia="Calibri" w:hAnsi="Calibri"/>
          <w:sz w:val="19"/>
          <w:szCs w:val="19"/>
        </w:rPr>
        <w:t xml:space="preserve">Unpaid leave is excluded from service for gratuity purposes. It needs recording when it happens, because reconstructing which absences were unpaid years later is where gratuity calculations fall apart and where employees reasonably challenge the result.</w:t>
      </w:r>
    </w:p>
    <w:p>
      <w:pPr>
        <w:keepNext/>
        <w:spacing w:after="40" w:before="140"/>
      </w:pPr>
      <w:r>
        <w:rPr>
          <w:rFonts w:ascii="Calibri" w:cs="Calibri" w:eastAsia="Calibri" w:hAnsi="Calibri"/>
          <w:b/>
          <w:bCs/>
          <w:color w:val="14161B"/>
          <w:sz w:val="20"/>
          <w:szCs w:val="20"/>
        </w:rPr>
        <w:t xml:space="preserve">Show the working on encashment</w:t>
      </w:r>
    </w:p>
    <w:p>
      <w:pPr>
        <w:spacing w:after="60" w:line="264"/>
        <w:jc w:val="both"/>
      </w:pPr>
      <w:r>
        <w:rPr>
          <w:rFonts w:ascii="Calibri" w:cs="Calibri" w:eastAsia="Calibri" w:hAnsi="Calibri"/>
          <w:sz w:val="19"/>
          <w:szCs w:val="19"/>
        </w:rPr>
        <w:t xml:space="preserve">A settlement statement showing days accrued, days taken, days remaining and the daily rate applied prevents most disputes. A single figure invites a MOHRE complaint from someone with time on their hands.</w:t>
      </w:r>
    </w:p>
    <w:p>
      <w:pPr>
        <w:keepNext/>
        <w:spacing w:after="40" w:before="140"/>
      </w:pPr>
      <w:r>
        <w:rPr>
          <w:rFonts w:ascii="Calibri" w:cs="Calibri" w:eastAsia="Calibri" w:hAnsi="Calibri"/>
          <w:b/>
          <w:bCs/>
          <w:color w:val="14161B"/>
          <w:sz w:val="20"/>
          <w:szCs w:val="20"/>
        </w:rPr>
        <w:t xml:space="preserve">Keep accrual running during paid statutory leave</w:t>
      </w:r>
    </w:p>
    <w:p>
      <w:pPr>
        <w:spacing w:after="60" w:line="264"/>
        <w:jc w:val="both"/>
      </w:pPr>
      <w:r>
        <w:rPr>
          <w:rFonts w:ascii="Calibri" w:cs="Calibri" w:eastAsia="Calibri" w:hAnsi="Calibri"/>
          <w:sz w:val="19"/>
          <w:szCs w:val="19"/>
        </w:rPr>
        <w:t xml:space="preserve">Annual leave accrual, gratuity service and any vesting continue during paid maternity, sick and other statutory leave. Suspending them disadvantages employees for exercising statutory rights and is indefensible if challenged.</w:t>
      </w:r>
    </w:p>
    <w:p>
      <w:pPr>
        <w:keepNext/>
        <w:spacing w:after="40" w:before="140"/>
      </w:pPr>
      <w:r>
        <w:rPr>
          <w:rFonts w:ascii="Calibri" w:cs="Calibri" w:eastAsia="Calibri" w:hAnsi="Calibri"/>
          <w:b/>
          <w:bCs/>
          <w:color w:val="14161B"/>
          <w:sz w:val="20"/>
          <w:szCs w:val="20"/>
        </w:rPr>
        <w:t xml:space="preserve">Sick pay is a descending scale, not a flat entitlement</w:t>
      </w:r>
    </w:p>
    <w:p>
      <w:pPr>
        <w:spacing w:after="60" w:line="264"/>
        <w:jc w:val="both"/>
      </w:pPr>
      <w:r>
        <w:rPr>
          <w:rFonts w:ascii="Calibri" w:cs="Calibri" w:eastAsia="Calibri" w:hAnsi="Calibri"/>
          <w:sz w:val="19"/>
          <w:szCs w:val="19"/>
        </w:rPr>
        <w:t xml:space="preserve">Fifteen days full pay, thirty days half pay, then unpaid — within a ninety-day annual limit, after probation. Policies that promise ninety days paid sick leave are wrong and expensive.</w:t>
      </w:r>
    </w:p>
    <w:p>
      <w:pPr>
        <w:keepNext/>
        <w:spacing w:after="40" w:before="140"/>
      </w:pPr>
      <w:r>
        <w:rPr>
          <w:rFonts w:ascii="Calibri" w:cs="Calibri" w:eastAsia="Calibri" w:hAnsi="Calibri"/>
          <w:b/>
          <w:bCs/>
          <w:color w:val="14161B"/>
          <w:sz w:val="20"/>
          <w:szCs w:val="20"/>
        </w:rPr>
        <w:t xml:space="preserve">Work injuries are not sick leave</w:t>
      </w:r>
    </w:p>
    <w:p>
      <w:pPr>
        <w:spacing w:after="60" w:line="264"/>
        <w:jc w:val="both"/>
      </w:pPr>
      <w:r>
        <w:rPr>
          <w:rFonts w:ascii="Calibri" w:cs="Calibri" w:eastAsia="Calibri" w:hAnsi="Calibri"/>
          <w:sz w:val="19"/>
          <w:szCs w:val="19"/>
        </w:rPr>
        <w:t xml:space="preserve">Injury arising out of and in the course of employment is dealt with under the work injury compensation regime with its own entitlements. Processing it as ordinary sick leave underpays the employee and misses the reporting and insurance obligations.</w:t>
      </w:r>
    </w:p>
    <w:p>
      <w:pPr>
        <w:keepNext/>
        <w:spacing w:after="40" w:before="140"/>
      </w:pPr>
      <w:r>
        <w:rPr>
          <w:rFonts w:ascii="Calibri" w:cs="Calibri" w:eastAsia="Calibri" w:hAnsi="Calibri"/>
          <w:b/>
          <w:bCs/>
          <w:color w:val="14161B"/>
          <w:sz w:val="20"/>
          <w:szCs w:val="20"/>
        </w:rPr>
        <w:t xml:space="preserve">Pregnancy and maternity are protected</w:t>
      </w:r>
    </w:p>
    <w:p>
      <w:pPr>
        <w:spacing w:after="60" w:line="264"/>
        <w:jc w:val="both"/>
      </w:pPr>
      <w:r>
        <w:rPr>
          <w:rFonts w:ascii="Calibri" w:cs="Calibri" w:eastAsia="Calibri" w:hAnsi="Calibri"/>
          <w:sz w:val="19"/>
          <w:szCs w:val="19"/>
        </w:rPr>
        <w:t xml:space="preserve">An employee may not be dismissed or given notice because of pregnancy or maternity leave. Where a termination coincides with either, expect the sequence to be examined closely and make sure the genuine reason is documented contemporaneously.</w:t>
      </w:r>
    </w:p>
    <w:p>
      <w:pPr>
        <w:keepNext/>
        <w:spacing w:after="40" w:before="140"/>
      </w:pPr>
      <w:r>
        <w:rPr>
          <w:rFonts w:ascii="Calibri" w:cs="Calibri" w:eastAsia="Calibri" w:hAnsi="Calibri"/>
          <w:b/>
          <w:bCs/>
          <w:color w:val="14161B"/>
          <w:sz w:val="20"/>
          <w:szCs w:val="20"/>
        </w:rPr>
        <w:t xml:space="preserve">Confirm whether holidays fall within leave</w:t>
      </w:r>
    </w:p>
    <w:p>
      <w:pPr>
        <w:spacing w:after="60" w:line="264"/>
        <w:jc w:val="both"/>
      </w:pPr>
      <w:r>
        <w:rPr>
          <w:rFonts w:ascii="Calibri" w:cs="Calibri" w:eastAsia="Calibri" w:hAnsi="Calibri"/>
          <w:sz w:val="19"/>
          <w:szCs w:val="19"/>
        </w:rPr>
        <w:t xml:space="preserve">Whether public holidays and weekly rest days falling inside a leave period count against the entitlement is a detail that changes the arithmetic materially over a year. Confirm the current position, state it in the policy, and apply it consistently.</w:t>
      </w:r>
    </w:p>
    <w:p>
      <w:pPr>
        <w:keepNext/>
        <w:spacing w:after="40" w:before="140"/>
      </w:pPr>
      <w:r>
        <w:rPr>
          <w:rFonts w:ascii="Calibri" w:cs="Calibri" w:eastAsia="Calibri" w:hAnsi="Calibri"/>
          <w:b/>
          <w:bCs/>
          <w:color w:val="14161B"/>
          <w:sz w:val="20"/>
          <w:szCs w:val="20"/>
        </w:rPr>
        <w:t xml:space="preserve">Decide carry-forward deliberately</w:t>
      </w:r>
    </w:p>
    <w:p>
      <w:pPr>
        <w:spacing w:after="60" w:line="264"/>
        <w:jc w:val="both"/>
      </w:pPr>
      <w:r>
        <w:rPr>
          <w:rFonts w:ascii="Calibri" w:cs="Calibri" w:eastAsia="Calibri" w:hAnsi="Calibri"/>
          <w:sz w:val="19"/>
          <w:szCs w:val="19"/>
        </w:rPr>
        <w:t xml:space="preserve">Whether leave carries forward, how much, and by when it must be used are policy choices within the framework the Law allows. Silence produces employees carrying large balances that crystallise as cash at exit.</w:t>
      </w:r>
    </w:p>
    <w:p>
      <w:pPr>
        <w:keepNext/>
        <w:spacing w:after="40" w:before="140"/>
      </w:pPr>
      <w:r>
        <w:rPr>
          <w:rFonts w:ascii="Calibri" w:cs="Calibri" w:eastAsia="Calibri" w:hAnsi="Calibri"/>
          <w:b/>
          <w:bCs/>
          <w:color w:val="14161B"/>
          <w:sz w:val="20"/>
          <w:szCs w:val="20"/>
        </w:rPr>
        <w:t xml:space="preserve">Encashment during employment is constrained</w:t>
      </w:r>
    </w:p>
    <w:p>
      <w:pPr>
        <w:spacing w:after="60" w:line="264"/>
        <w:jc w:val="both"/>
      </w:pPr>
      <w:r>
        <w:rPr>
          <w:rFonts w:ascii="Calibri" w:cs="Calibri" w:eastAsia="Calibri" w:hAnsi="Calibri"/>
          <w:sz w:val="19"/>
          <w:szCs w:val="19"/>
        </w:rPr>
        <w:t xml:space="preserve">Paying an employee not to take leave is permitted only within what the Law allows, and a culture of routinely encashing rather than resting is a wellbeing problem before it is a compliance one. State the position rather than leaving it to practice.</w:t>
      </w:r>
    </w:p>
    <w:p>
      <w:pPr>
        <w:keepNext/>
        <w:spacing w:after="40" w:before="140"/>
      </w:pPr>
      <w:r>
        <w:rPr>
          <w:rFonts w:ascii="Calibri" w:cs="Calibri" w:eastAsia="Calibri" w:hAnsi="Calibri"/>
          <w:b/>
          <w:bCs/>
          <w:color w:val="14161B"/>
          <w:sz w:val="20"/>
          <w:szCs w:val="20"/>
        </w:rPr>
        <w:t xml:space="preserve">Require certificates from approved authorities</w:t>
      </w:r>
    </w:p>
    <w:p>
      <w:pPr>
        <w:spacing w:after="60" w:line="264"/>
        <w:jc w:val="both"/>
      </w:pPr>
      <w:r>
        <w:rPr>
          <w:rFonts w:ascii="Calibri" w:cs="Calibri" w:eastAsia="Calibri" w:hAnsi="Calibri"/>
          <w:sz w:val="19"/>
          <w:szCs w:val="19"/>
        </w:rPr>
        <w:t xml:space="preserve">Sick leave requires a medical certificate from an approved medical authority. Accepting any note sets a precedent that is difficult to reverse, and inconsistent enforcement between employees creates its own grievance.</w:t>
      </w:r>
    </w:p>
    <w:p>
      <w:pPr>
        <w:keepNext/>
        <w:spacing w:after="40" w:before="140"/>
      </w:pPr>
      <w:r>
        <w:rPr>
          <w:rFonts w:ascii="Calibri" w:cs="Calibri" w:eastAsia="Calibri" w:hAnsi="Calibri"/>
          <w:b/>
          <w:bCs/>
          <w:color w:val="14161B"/>
          <w:sz w:val="20"/>
          <w:szCs w:val="20"/>
        </w:rPr>
        <w:t xml:space="preserve">Check the entitlements against current rules before publishing</w:t>
      </w:r>
    </w:p>
    <w:p>
      <w:pPr>
        <w:spacing w:after="60" w:line="264"/>
        <w:jc w:val="both"/>
      </w:pPr>
      <w:r>
        <w:rPr>
          <w:rFonts w:ascii="Calibri" w:cs="Calibri" w:eastAsia="Calibri" w:hAnsi="Calibri"/>
          <w:sz w:val="19"/>
          <w:szCs w:val="19"/>
        </w:rPr>
        <w:t xml:space="preserve">Several leave entitlements and pay scales have been amended since 2022, and online templates are frequently out of date. Verify each figure with MOHRE before issuing a policy that employees will rely on.</w:t>
      </w:r>
    </w:p>
    <w:p>
      <w:pPr>
        <w:keepNext/>
        <w:spacing w:after="40" w:before="140"/>
      </w:pPr>
      <w:r>
        <w:rPr>
          <w:rFonts w:ascii="Calibri" w:cs="Calibri" w:eastAsia="Calibri" w:hAnsi="Calibri"/>
          <w:b/>
          <w:bCs/>
          <w:color w:val="14161B"/>
          <w:sz w:val="20"/>
          <w:szCs w:val="20"/>
        </w:rPr>
        <w:t xml:space="preserve">Free zone, DIFC and ADGM differ</w:t>
      </w:r>
    </w:p>
    <w:p>
      <w:pPr>
        <w:spacing w:after="60" w:line="264"/>
        <w:jc w:val="both"/>
      </w:pPr>
      <w:r>
        <w:rPr>
          <w:rFonts w:ascii="Calibri" w:cs="Calibri" w:eastAsia="Calibri" w:hAnsi="Calibri"/>
          <w:sz w:val="19"/>
          <w:szCs w:val="19"/>
        </w:rPr>
        <w:t xml:space="preserve">Free zones generally apply the federal entitlements through the zone, but DIFC and ADGM operate their own employment codes with different leave rules. This policy is drafted for the mainland framework.</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Federal Decree-Law 33/2021 has been amended and Cabinet resolutions on leave entitlements, pay scales, parental leave and holiday treatment change — confirm each entitlement with MOHRE or a UAE employment adviser before publishing this policy.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2026-08-23T16:28:35.096Z</dcterms:created>
  <dcterms:modified xsi:type="dcterms:W3CDTF">2026-08-23T16:28:35.096Z</dcterms:modified>
</cp:coreProperties>
</file>

<file path=docProps/custom.xml><?xml version="1.0" encoding="utf-8"?>
<Properties xmlns="http://schemas.openxmlformats.org/officeDocument/2006/custom-properties" xmlns:vt="http://schemas.openxmlformats.org/officeDocument/2006/docPropsVTypes"/>
</file>