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IT AND INFORMATION SECURITY</w:t>
      </w:r>
    </w:p>
    <w:p>
      <w:pPr>
        <w:spacing w:after="260"/>
        <w:jc w:val="center"/>
      </w:pPr>
      <w:r>
        <w:rPr>
          <w:rFonts w:ascii="Calibri" w:cs="Calibri" w:eastAsia="Calibri" w:hAnsi="Calibri"/>
          <w:i/>
          <w:iCs/>
          <w:color w:val="6E7480"/>
          <w:sz w:val="19"/>
          <w:szCs w:val="19"/>
        </w:rPr>
        <w:t xml:space="preserve">Acceptable use, access and incidents</w:t>
      </w:r>
    </w:p>
    <w:p>
      <w:pPr>
        <w:spacing w:after="180" w:before="0" w:line="276"/>
        <w:jc w:val="both"/>
      </w:pPr>
      <w:r>
        <w:rPr>
          <w:rFonts w:ascii="Calibri" w:cs="Calibri" w:eastAsia="Calibri" w:hAnsi="Calibri"/>
          <w:i/>
          <w:iCs/>
          <w:color w:val="6E7480"/>
          <w:sz w:val="21"/>
          <w:szCs w:val="21"/>
        </w:rPr>
        <w:t xml:space="preserve">Two UAE-specific points sit inside what looks like a standard IT policy. </w:t>
      </w:r>
      <w:r>
        <w:rPr>
          <w:rFonts w:ascii="Calibri" w:cs="Calibri" w:eastAsia="Calibri" w:hAnsi="Calibri"/>
          <w:b/>
          <w:bCs/>
          <w:i/>
          <w:iCs/>
          <w:color w:val="6E7480"/>
          <w:sz w:val="21"/>
          <w:szCs w:val="21"/>
        </w:rPr>
        <w:t xml:space="preserve">Online conduct is regulated</w:t>
      </w:r>
      <w:r>
        <w:rPr>
          <w:rFonts w:ascii="Calibri" w:cs="Calibri" w:eastAsia="Calibri" w:hAnsi="Calibri"/>
          <w:i/>
          <w:iCs/>
          <w:color w:val="6E7480"/>
          <w:sz w:val="21"/>
          <w:szCs w:val="21"/>
        </w:rPr>
        <w:t xml:space="preserve"> — the cybercrime framework reaches speech, images and content in ways employees relocating from elsewhere do not expect. And </w:t>
      </w:r>
      <w:r>
        <w:rPr>
          <w:rFonts w:ascii="Calibri" w:cs="Calibri" w:eastAsia="Calibri" w:hAnsi="Calibri"/>
          <w:b/>
          <w:bCs/>
          <w:i/>
          <w:iCs/>
          <w:color w:val="6E7480"/>
          <w:sz w:val="21"/>
          <w:szCs w:val="21"/>
        </w:rPr>
        <w:t xml:space="preserve">VPN use to access restricted services can itself be an offence</w:t>
      </w:r>
      <w:r>
        <w:rPr>
          <w:rFonts w:ascii="Calibri" w:cs="Calibri" w:eastAsia="Calibri" w:hAnsi="Calibri"/>
          <w:i/>
          <w:iCs/>
          <w:color w:val="6E7480"/>
          <w:sz w:val="21"/>
          <w:szCs w:val="21"/>
        </w:rPr>
        <w:t xml:space="preserve"> depending on purpose. Say both plainly.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contractors and anyone using Company systems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IT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 incident reporting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 </w:t>
            </w:r>
            <w:r>
              <w:rPr>
                <w:rFonts w:ascii="Calibri" w:cs="Calibri" w:eastAsia="Calibri" w:hAnsi="Calibri"/>
                <w:b/>
                <w:bCs/>
                <w:sz w:val="19"/>
                <w:szCs w:val="19"/>
              </w:rPr>
              <w:t xml:space="preserve">[PHONE]</w:t>
            </w:r>
            <w:r>
              <w:rPr>
                <w:rFonts w:ascii="Calibri" w:cs="Calibri" w:eastAsia="Calibri" w:hAnsi="Calibri"/>
                <w:sz w:val="19"/>
                <w:szCs w:val="19"/>
              </w:rPr>
              <w:t xml:space="preserve"> — </w:t>
            </w:r>
            <w:r>
              <w:rPr>
                <w:rFonts w:ascii="Calibri" w:cs="Calibri" w:eastAsia="Calibri" w:hAnsi="Calibri"/>
                <w:b/>
                <w:bCs/>
                <w:sz w:val="19"/>
                <w:szCs w:val="19"/>
              </w:rPr>
              <w:t xml:space="preserve">immediately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regime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Personal devices permitted?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see Section 4]</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Monitoring in place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ACCEPTABLE USE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Company systems, devices, accounts and data are provided for Company business. Reasonable personal use is permitted provided it does not interfere with work, consume significant resources, or breach this policy.</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Users shall not: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share passwords or allow another person to use their account;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install unapproved software, or connect unapproved devices;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disable security controls, antivirus or encryption;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access data they have no business need to see;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copy Company data to personal accounts, devices or storage;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use Company systems to harass, discriminate, or distribute offensive material; or</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use Company systems for any unlawful purpose.</w:t>
      </w:r>
    </w:p>
    <w:p>
      <w:pPr>
        <w:keepNext/>
        <w:spacing w:after="120" w:before="280"/>
        <w:outlineLvl w:val="0"/>
      </w:pPr>
      <w:r>
        <w:rPr>
          <w:rFonts w:ascii="Calibri" w:cs="Calibri" w:eastAsia="Calibri" w:hAnsi="Calibri"/>
          <w:b/>
          <w:bCs/>
          <w:color w:val="14161B"/>
          <w:sz w:val="22"/>
          <w:szCs w:val="22"/>
        </w:rPr>
        <w:t xml:space="preserve">2. ONLINE CONDUCT — UAE SPECIFIC</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UAE regulates online conduct more closely than many jurisdictions employees may have come from. The cybercrime framework reaches, among other things, </w:t>
      </w:r>
      <w:r>
        <w:rPr>
          <w:rFonts w:ascii="Calibri" w:cs="Calibri" w:eastAsia="Calibri" w:hAnsi="Calibri"/>
          <w:b/>
          <w:bCs/>
          <w:sz w:val="21"/>
          <w:szCs w:val="21"/>
        </w:rPr>
        <w:t xml:space="preserve">defamation and insult, publishing images of people without consent, content offensive to religion or public morals, spreading false information, and unauthorised access to systems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This applies to </w:t>
      </w:r>
      <w:r>
        <w:rPr>
          <w:rFonts w:ascii="Calibri" w:cs="Calibri" w:eastAsia="Calibri" w:hAnsi="Calibri"/>
          <w:b/>
          <w:bCs/>
          <w:sz w:val="21"/>
          <w:szCs w:val="21"/>
        </w:rPr>
        <w:t xml:space="preserve">personal social media as well as Company systems</w:t>
      </w:r>
      <w:r>
        <w:rPr>
          <w:rFonts w:ascii="Calibri" w:cs="Calibri" w:eastAsia="Calibri" w:hAnsi="Calibri"/>
          <w:sz w:val="21"/>
          <w:szCs w:val="21"/>
        </w:rPr>
        <w:t xml:space="preserve">, and consequences can include criminal penalties and effects on residence status.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Do not photograph or film people without their consent</w:t>
      </w:r>
      <w:r>
        <w:rPr>
          <w:rFonts w:ascii="Calibri" w:cs="Calibri" w:eastAsia="Calibri" w:hAnsi="Calibri"/>
          <w:sz w:val="21"/>
          <w:szCs w:val="21"/>
        </w:rPr>
        <w:t xml:space="preserve"> and do not post images of colleagues, customers or members of the public without permission. This is among the most commonly misunderstood rules.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VPN use.</w:t>
      </w:r>
      <w:r>
        <w:rPr>
          <w:rFonts w:ascii="Calibri" w:cs="Calibri" w:eastAsia="Calibri" w:hAnsi="Calibri"/>
          <w:sz w:val="21"/>
          <w:szCs w:val="21"/>
        </w:rPr>
        <w:t xml:space="preserve"> Using a VPN is not automatically unlawful, but using one to access services that are restricted, or to commit or conceal an offence, can itself be an offence. Do not use a VPN to circumvent access restrictions.</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Employees shall not post about the Company, its clients or their work in a way that discloses confidential information or brings the Company into disrepute.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i/>
          <w:iCs/>
          <w:sz w:val="21"/>
          <w:szCs w:val="21"/>
        </w:rPr>
        <w:t xml:space="preserve">Say this at induction rather than leaving people to learn it from a news story. Employees relocating from other countries routinely assume the norms they are used to apply here.</w:t>
      </w:r>
    </w:p>
    <w:p>
      <w:pPr>
        <w:keepNext/>
        <w:spacing w:after="120" w:before="280"/>
        <w:outlineLvl w:val="0"/>
      </w:pPr>
      <w:r>
        <w:rPr>
          <w:rFonts w:ascii="Calibri" w:cs="Calibri" w:eastAsia="Calibri" w:hAnsi="Calibri"/>
          <w:b/>
          <w:bCs/>
          <w:color w:val="14161B"/>
          <w:sz w:val="22"/>
          <w:szCs w:val="22"/>
        </w:rPr>
        <w:t xml:space="preserve">3. ACCESS AND ACCOUNTS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397"/>
        <w:gridCol w:w="1734"/>
        <w:gridCol w:w="212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212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provisioned to the role, not by request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joining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Multi-factor authentication on email and critical systems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Always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Administrator accounts separate from day-to-day accounts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Always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reviewed against current roles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[Quarterly]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changed promptly on a role change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change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All access revoked on the last working day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departure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Shared accounts avoided; where unavoidable, credentials rotated on departure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Third party and vendor access reviewed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[Quarterly]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Dormant accounts disabled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Privileged access logged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212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Continuous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Control 6 is the one that fails. Resigning an office, leaving the country and having a visa cancelled remove none of a person’s system access. Dormant access belonging to former employees appears in almost every diligence exercise.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DEVICES AND REMOTE WORKING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Company devices remain Company property and shall be returned on leaving.</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personal devices are permitted]</w:t>
      </w:r>
      <w:r>
        <w:rPr>
          <w:rFonts w:ascii="Calibri" w:cs="Calibri" w:eastAsia="Calibri" w:hAnsi="Calibri"/>
          <w:sz w:val="21"/>
          <w:szCs w:val="21"/>
        </w:rPr>
        <w:t xml:space="preserve"> Personal devices used for work shall have a passcode, current operating system updates, and the Company’s security requirements applied. The Company may require Company data to be removed from a personal device.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Company data shall not be stored in personal email, personal cloud storage or personal messaging accounts.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Devices shall not be left unattended in public, and shall be locked when not in use.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Loss or theft of a device holding Company data shall be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 it may be a notifiable data breach.</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b/>
          <w:bCs/>
          <w:sz w:val="21"/>
          <w:szCs w:val="21"/>
        </w:rPr>
        <w:t xml:space="preserve">Accessing Company data from outside the UAE</w:t>
      </w:r>
      <w:r>
        <w:rPr>
          <w:rFonts w:ascii="Calibri" w:cs="Calibri" w:eastAsia="Calibri" w:hAnsi="Calibri"/>
          <w:sz w:val="21"/>
          <w:szCs w:val="21"/>
        </w:rPr>
        <w:t xml:space="preserve"> may be a cross-border data transfer requiring safeguards. Notify </w:t>
      </w:r>
      <w:r>
        <w:rPr>
          <w:rFonts w:ascii="Calibri" w:cs="Calibri" w:eastAsia="Calibri" w:hAnsi="Calibri"/>
          <w:b/>
          <w:bCs/>
          <w:sz w:val="21"/>
          <w:szCs w:val="21"/>
        </w:rPr>
        <w:t xml:space="preserve">[ROLE]</w:t>
      </w:r>
      <w:r>
        <w:rPr>
          <w:rFonts w:ascii="Calibri" w:cs="Calibri" w:eastAsia="Calibri" w:hAnsi="Calibri"/>
          <w:sz w:val="21"/>
          <w:szCs w:val="21"/>
        </w:rPr>
        <w:t xml:space="preserve"> before working from another country.</w:t>
      </w:r>
    </w:p>
    <w:p>
      <w:pPr>
        <w:keepNext/>
        <w:spacing w:after="120" w:before="280"/>
        <w:outlineLvl w:val="0"/>
      </w:pPr>
      <w:r>
        <w:rPr>
          <w:rFonts w:ascii="Calibri" w:cs="Calibri" w:eastAsia="Calibri" w:hAnsi="Calibri"/>
          <w:b/>
          <w:bCs/>
          <w:color w:val="14161B"/>
          <w:sz w:val="22"/>
          <w:szCs w:val="22"/>
        </w:rPr>
        <w:t xml:space="preserve">5. DATA PROTECTION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Personal data shall be handled in accordance with the Company’s data protection policy under the </w:t>
      </w:r>
      <w:r>
        <w:rPr>
          <w:rFonts w:ascii="Calibri" w:cs="Calibri" w:eastAsia="Calibri" w:hAnsi="Calibri"/>
          <w:b/>
          <w:bCs/>
          <w:sz w:val="21"/>
          <w:szCs w:val="21"/>
        </w:rPr>
        <w:t xml:space="preserve">[Federal PDPL / DIFC / ADGM]</w:t>
      </w:r>
      <w:r>
        <w:rPr>
          <w:rFonts w:ascii="Calibri" w:cs="Calibri" w:eastAsia="Calibri" w:hAnsi="Calibri"/>
          <w:sz w:val="21"/>
          <w:szCs w:val="21"/>
        </w:rPr>
        <w:t xml:space="preserve"> regime.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Personal data shall be accessed only where there is a business need, shared only with those entitled to see it, and not retained longer than necessary.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Employee, customer and candidate data — including passport copies, Emirates ID copies, visa records and medical information — is personal data and much of it is sensitive.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Report any suspected data breach immediately</w:t>
      </w:r>
      <w:r>
        <w:rPr>
          <w:rFonts w:ascii="Calibri" w:cs="Calibri" w:eastAsia="Calibri" w:hAnsi="Calibri"/>
          <w:sz w:val="21"/>
          <w:szCs w:val="21"/>
        </w:rPr>
        <w:t xml:space="preserve"> to </w:t>
      </w:r>
      <w:r>
        <w:rPr>
          <w:rFonts w:ascii="Calibri" w:cs="Calibri" w:eastAsia="Calibri" w:hAnsi="Calibri"/>
          <w:b/>
          <w:bCs/>
          <w:sz w:val="21"/>
          <w:szCs w:val="21"/>
        </w:rPr>
        <w:t xml:space="preserve">[ROLE]</w:t>
      </w:r>
      <w:r>
        <w:rPr>
          <w:rFonts w:ascii="Calibri" w:cs="Calibri" w:eastAsia="Calibri" w:hAnsi="Calibri"/>
          <w:sz w:val="21"/>
          <w:szCs w:val="21"/>
        </w:rPr>
        <w:t xml:space="preserve">. Do not attempt to assess or resolve it first.</w:t>
      </w:r>
    </w:p>
    <w:p>
      <w:pPr>
        <w:keepNext/>
        <w:spacing w:after="120" w:before="280"/>
        <w:outlineLvl w:val="0"/>
      </w:pPr>
      <w:r>
        <w:rPr>
          <w:rFonts w:ascii="Calibri" w:cs="Calibri" w:eastAsia="Calibri" w:hAnsi="Calibri"/>
          <w:b/>
          <w:bCs/>
          <w:color w:val="14161B"/>
          <w:sz w:val="22"/>
          <w:szCs w:val="22"/>
        </w:rPr>
        <w:t xml:space="preserve">6. MONITORING</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may monitor its systems for security, compliance and business continuity purposes, in accordance with applicable law.</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Monitoring is proportionate, and users are informed of it through this policy.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Monitoring records are themselves personal data and are handled accordingly.</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i/>
          <w:iCs/>
          <w:sz w:val="21"/>
          <w:szCs w:val="21"/>
        </w:rPr>
        <w:t xml:space="preserve">Tell people plainly that monitoring happens and what it covers. Covert monitoring without a clear lawful basis is a data protection problem as well as a trust problem.</w:t>
      </w:r>
    </w:p>
    <w:p>
      <w:pPr>
        <w:keepNext/>
        <w:spacing w:after="120" w:before="280"/>
        <w:outlineLvl w:val="0"/>
      </w:pPr>
      <w:r>
        <w:rPr>
          <w:rFonts w:ascii="Calibri" w:cs="Calibri" w:eastAsia="Calibri" w:hAnsi="Calibri"/>
          <w:b/>
          <w:bCs/>
          <w:color w:val="14161B"/>
          <w:sz w:val="22"/>
          <w:szCs w:val="22"/>
        </w:rPr>
        <w:t xml:space="preserve">7. INCIDENTS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78"/>
        <w:gridCol w:w="5975"/>
        <w:gridCol w:w="3085"/>
      </w:tblGrid>
      <w:tr>
        <w:trPr>
          <w:cantSplit/>
          <w:tblHeader/>
        </w:trPr>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 to </w:t>
            </w:r>
            <w:r>
              <w:rPr>
                <w:rFonts w:ascii="Calibri" w:cs="Calibri" w:eastAsia="Calibri" w:hAnsi="Calibri"/>
                <w:b/>
                <w:bCs/>
                <w:sz w:val="18"/>
                <w:szCs w:val="18"/>
              </w:rPr>
              <w:t xml:space="preserve">[ROLE]</w:t>
            </w:r>
            <w:r>
              <w:rPr>
                <w:rFonts w:ascii="Calibri" w:cs="Calibri" w:eastAsia="Calibri" w:hAnsi="Calibri"/>
                <w:sz w:val="18"/>
                <w:szCs w:val="18"/>
              </w:rPr>
              <w:t xml:space="preserve"> — do not investigate first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Immediately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Contain — isolate the device or account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Immediately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Preserve logs and evidence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remediation</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 what data was involved and whose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day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Assess whether it is a notifiable data breach</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Same day</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the regulator and individuals where required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applicable regime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Notify affected customers or partners under contract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the contract</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Remediate and restore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soon as safe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in the incident and breach registers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closure</w:t>
            </w:r>
          </w:p>
        </w:tc>
      </w:tr>
      <w:tr>
        <w:trPr>
          <w:cantSplit/>
        </w:trPr>
        <w:tc>
          <w:tcPr>
            <w:tcW w:type="dxa" w:w="57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controls and fix the cause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w:t>
            </w:r>
            <w:r>
              <w:rPr>
                <w:rFonts w:ascii="Calibri" w:cs="Calibri" w:eastAsia="Calibri" w:hAnsi="Calibri"/>
                <w:b/>
                <w:bCs/>
                <w:sz w:val="18"/>
                <w:szCs w:val="18"/>
              </w:rPr>
              <w:t xml:space="preserve">[30]</w:t>
            </w:r>
            <w:r>
              <w:rPr>
                <w:rFonts w:ascii="Calibri" w:cs="Calibri" w:eastAsia="Calibri" w:hAnsi="Calibri"/>
                <w:sz w:val="18"/>
                <w:szCs w:val="18"/>
              </w:rPr>
              <w:t xml:space="preserve"> days</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Report first, assess second.</w:t>
      </w:r>
      <w:r>
        <w:rPr>
          <w:rFonts w:ascii="Calibri" w:cs="Calibri" w:eastAsia="Calibri" w:hAnsi="Calibri"/>
          <w:sz w:val="21"/>
          <w:szCs w:val="21"/>
        </w:rPr>
        <w:t xml:space="preserve"> The most damaging delays come from someone trying to resolve a problem quietly, which loses containment time and destroys the logs needed to establish scope.</w:t>
      </w:r>
    </w:p>
    <w:p>
      <w:pPr>
        <w:spacing w:after="160"/>
      </w:pPr>
    </w:p>
    <w:p>
      <w:pPr>
        <w:spacing w:after="15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this policy, including the section on online conduct in the UAE, and that I understand how to report a security incident.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Cover UAE online conduct explicitly at induction</w:t>
      </w:r>
    </w:p>
    <w:p>
      <w:pPr>
        <w:spacing w:after="60" w:line="264"/>
        <w:jc w:val="both"/>
      </w:pPr>
      <w:r>
        <w:rPr>
          <w:rFonts w:ascii="Calibri" w:cs="Calibri" w:eastAsia="Calibri" w:hAnsi="Calibri"/>
          <w:sz w:val="19"/>
          <w:szCs w:val="19"/>
        </w:rPr>
        <w:t xml:space="preserve">The cybercrime framework reaches defamation and insult, publishing images of people without consent, content offensive to religion or public morals, and spreading false information — with criminal penalties and possible effects on residence. Employees relocating from other countries assume their home norms apply. A short, plain paragraph at induction prevents a serious problem.</w:t>
      </w:r>
    </w:p>
    <w:p>
      <w:pPr>
        <w:keepNext/>
        <w:spacing w:after="40" w:before="140"/>
      </w:pPr>
      <w:r>
        <w:rPr>
          <w:rFonts w:ascii="Calibri" w:cs="Calibri" w:eastAsia="Calibri" w:hAnsi="Calibri"/>
          <w:b/>
          <w:bCs/>
          <w:color w:val="14161B"/>
          <w:sz w:val="20"/>
          <w:szCs w:val="20"/>
        </w:rPr>
        <w:t xml:space="preserve">Photographing people without consent is the common trap</w:t>
      </w:r>
    </w:p>
    <w:p>
      <w:pPr>
        <w:spacing w:after="60" w:line="264"/>
        <w:jc w:val="both"/>
      </w:pPr>
      <w:r>
        <w:rPr>
          <w:rFonts w:ascii="Calibri" w:cs="Calibri" w:eastAsia="Calibri" w:hAnsi="Calibri"/>
          <w:sz w:val="19"/>
          <w:szCs w:val="19"/>
        </w:rPr>
        <w:t xml:space="preserve">Posting a photograph of a colleague, a customer or a stranger without permission is among the most frequently misunderstood rules, and it arises constantly with team photos, event coverage and social media. Say it directly rather than burying it.</w:t>
      </w:r>
    </w:p>
    <w:p>
      <w:pPr>
        <w:keepNext/>
        <w:spacing w:after="40" w:before="140"/>
      </w:pPr>
      <w:r>
        <w:rPr>
          <w:rFonts w:ascii="Calibri" w:cs="Calibri" w:eastAsia="Calibri" w:hAnsi="Calibri"/>
          <w:b/>
          <w:bCs/>
          <w:color w:val="14161B"/>
          <w:sz w:val="20"/>
          <w:szCs w:val="20"/>
        </w:rPr>
        <w:t xml:space="preserve">Be accurate about VPNs</w:t>
      </w:r>
    </w:p>
    <w:p>
      <w:pPr>
        <w:spacing w:after="60" w:line="264"/>
        <w:jc w:val="both"/>
      </w:pPr>
      <w:r>
        <w:rPr>
          <w:rFonts w:ascii="Calibri" w:cs="Calibri" w:eastAsia="Calibri" w:hAnsi="Calibri"/>
          <w:sz w:val="19"/>
          <w:szCs w:val="19"/>
        </w:rPr>
        <w:t xml:space="preserve">Using a VPN is not automatically unlawful, and telling staff it is will simply be disbelieved. Using one to access restricted services or to commit or conceal an offence can be an offence. State the distinction precisely — an inaccurate policy loses credibility on everything else.</w:t>
      </w:r>
    </w:p>
    <w:p>
      <w:pPr>
        <w:keepNext/>
        <w:spacing w:after="40" w:before="140"/>
      </w:pPr>
      <w:r>
        <w:rPr>
          <w:rFonts w:ascii="Calibri" w:cs="Calibri" w:eastAsia="Calibri" w:hAnsi="Calibri"/>
          <w:b/>
          <w:bCs/>
          <w:color w:val="14161B"/>
          <w:sz w:val="20"/>
          <w:szCs w:val="20"/>
        </w:rPr>
        <w:t xml:space="preserve">Personal social media is in scope</w:t>
      </w:r>
    </w:p>
    <w:p>
      <w:pPr>
        <w:spacing w:after="60" w:line="264"/>
        <w:jc w:val="both"/>
      </w:pPr>
      <w:r>
        <w:rPr>
          <w:rFonts w:ascii="Calibri" w:cs="Calibri" w:eastAsia="Calibri" w:hAnsi="Calibri"/>
          <w:sz w:val="19"/>
          <w:szCs w:val="19"/>
        </w:rPr>
        <w:t xml:space="preserve">Conduct outside work reaches employment and residence status in ways that differ from many jurisdictions. This is not the employer being controlling; it is a factual position employees benefit from knowing.</w:t>
      </w:r>
    </w:p>
    <w:p>
      <w:pPr>
        <w:keepNext/>
        <w:spacing w:after="40" w:before="140"/>
      </w:pPr>
      <w:r>
        <w:rPr>
          <w:rFonts w:ascii="Calibri" w:cs="Calibri" w:eastAsia="Calibri" w:hAnsi="Calibri"/>
          <w:b/>
          <w:bCs/>
          <w:color w:val="14161B"/>
          <w:sz w:val="20"/>
          <w:szCs w:val="20"/>
        </w:rPr>
        <w:t xml:space="preserve">Revoke access on the last working day</w:t>
      </w:r>
    </w:p>
    <w:p>
      <w:pPr>
        <w:spacing w:after="60" w:line="264"/>
        <w:jc w:val="both"/>
      </w:pPr>
      <w:r>
        <w:rPr>
          <w:rFonts w:ascii="Calibri" w:cs="Calibri" w:eastAsia="Calibri" w:hAnsi="Calibri"/>
          <w:sz w:val="19"/>
          <w:szCs w:val="19"/>
        </w:rPr>
        <w:t xml:space="preserve">Resigning an office, leaving the country and having a visa cancelled remove none of a person’s system access. Dormant accounts belonging to former employees appear in almost every diligence exercise, and they are the easiest finding to avoid.</w:t>
      </w:r>
    </w:p>
    <w:p>
      <w:pPr>
        <w:keepNext/>
        <w:spacing w:after="40" w:before="140"/>
      </w:pPr>
      <w:r>
        <w:rPr>
          <w:rFonts w:ascii="Calibri" w:cs="Calibri" w:eastAsia="Calibri" w:hAnsi="Calibri"/>
          <w:b/>
          <w:bCs/>
          <w:color w:val="14161B"/>
          <w:sz w:val="20"/>
          <w:szCs w:val="20"/>
        </w:rPr>
        <w:t xml:space="preserve">Rotate shared credentials on departure</w:t>
      </w:r>
    </w:p>
    <w:p>
      <w:pPr>
        <w:spacing w:after="60" w:line="264"/>
        <w:jc w:val="both"/>
      </w:pPr>
      <w:r>
        <w:rPr>
          <w:rFonts w:ascii="Calibri" w:cs="Calibri" w:eastAsia="Calibri" w:hAnsi="Calibri"/>
          <w:sz w:val="19"/>
          <w:szCs w:val="19"/>
        </w:rPr>
        <w:t xml:space="preserve">Where a shared account genuinely cannot be avoided, its credentials must change whenever anyone with access leaves. Shared accounts also destroy accountability in an investigation, which is the second reason to minimise them.</w:t>
      </w:r>
    </w:p>
    <w:p>
      <w:pPr>
        <w:keepNext/>
        <w:spacing w:after="40" w:before="140"/>
      </w:pPr>
      <w:r>
        <w:rPr>
          <w:rFonts w:ascii="Calibri" w:cs="Calibri" w:eastAsia="Calibri" w:hAnsi="Calibri"/>
          <w:b/>
          <w:bCs/>
          <w:color w:val="14161B"/>
          <w:sz w:val="20"/>
          <w:szCs w:val="20"/>
        </w:rPr>
        <w:t xml:space="preserve">Report incidents before investigating</w:t>
      </w:r>
    </w:p>
    <w:p>
      <w:pPr>
        <w:spacing w:after="60" w:line="264"/>
        <w:jc w:val="both"/>
      </w:pPr>
      <w:r>
        <w:rPr>
          <w:rFonts w:ascii="Calibri" w:cs="Calibri" w:eastAsia="Calibri" w:hAnsi="Calibri"/>
          <w:sz w:val="19"/>
          <w:szCs w:val="19"/>
        </w:rPr>
        <w:t xml:space="preserve">The most damaging delays come from a well-intentioned attempt to fix something quietly. That loses containment time and frequently destroys the logs needed to establish what was accessed. Report first, contain second, investigate third.</w:t>
      </w:r>
    </w:p>
    <w:p>
      <w:pPr>
        <w:keepNext/>
        <w:spacing w:after="40" w:before="140"/>
      </w:pPr>
      <w:r>
        <w:rPr>
          <w:rFonts w:ascii="Calibri" w:cs="Calibri" w:eastAsia="Calibri" w:hAnsi="Calibri"/>
          <w:b/>
          <w:bCs/>
          <w:color w:val="14161B"/>
          <w:sz w:val="20"/>
          <w:szCs w:val="20"/>
        </w:rPr>
        <w:t xml:space="preserve">Preserve logs before remediating</w:t>
      </w:r>
    </w:p>
    <w:p>
      <w:pPr>
        <w:spacing w:after="60" w:line="264"/>
        <w:jc w:val="both"/>
      </w:pPr>
      <w:r>
        <w:rPr>
          <w:rFonts w:ascii="Calibri" w:cs="Calibri" w:eastAsia="Calibri" w:hAnsi="Calibri"/>
          <w:sz w:val="19"/>
          <w:szCs w:val="19"/>
        </w:rPr>
        <w:t xml:space="preserve">Rebuilding a compromised machine destroys the evidence needed to determine whether personal data was accessed — which is the question the breach assessment turns on. Image or preserve before restoring.</w:t>
      </w:r>
    </w:p>
    <w:p>
      <w:pPr>
        <w:keepNext/>
        <w:spacing w:after="40" w:before="140"/>
      </w:pPr>
      <w:r>
        <w:rPr>
          <w:rFonts w:ascii="Calibri" w:cs="Calibri" w:eastAsia="Calibri" w:hAnsi="Calibri"/>
          <w:b/>
          <w:bCs/>
          <w:color w:val="14161B"/>
          <w:sz w:val="20"/>
          <w:szCs w:val="20"/>
        </w:rPr>
        <w:t xml:space="preserve">Know which data protection regime applies</w:t>
      </w:r>
    </w:p>
    <w:p>
      <w:pPr>
        <w:spacing w:after="60" w:line="264"/>
        <w:jc w:val="both"/>
      </w:pPr>
      <w:r>
        <w:rPr>
          <w:rFonts w:ascii="Calibri" w:cs="Calibri" w:eastAsia="Calibri" w:hAnsi="Calibri"/>
          <w:sz w:val="19"/>
          <w:szCs w:val="19"/>
        </w:rPr>
        <w:t xml:space="preserve">Federal PDPL, DIFC or ADGM depends on where the entity is established, and they differ on breach notification and rights. An incident response plan citing the wrong regulator will fail at the worst moment.</w:t>
      </w:r>
    </w:p>
    <w:p>
      <w:pPr>
        <w:keepNext/>
        <w:spacing w:after="40" w:before="140"/>
      </w:pPr>
      <w:r>
        <w:rPr>
          <w:rFonts w:ascii="Calibri" w:cs="Calibri" w:eastAsia="Calibri" w:hAnsi="Calibri"/>
          <w:b/>
          <w:bCs/>
          <w:color w:val="14161B"/>
          <w:sz w:val="20"/>
          <w:szCs w:val="20"/>
        </w:rPr>
        <w:t xml:space="preserve">Working abroad is a transfer question</w:t>
      </w:r>
    </w:p>
    <w:p>
      <w:pPr>
        <w:spacing w:after="60" w:line="264"/>
        <w:jc w:val="both"/>
      </w:pPr>
      <w:r>
        <w:rPr>
          <w:rFonts w:ascii="Calibri" w:cs="Calibri" w:eastAsia="Calibri" w:hAnsi="Calibri"/>
          <w:sz w:val="19"/>
          <w:szCs w:val="19"/>
        </w:rPr>
        <w:t xml:space="preserve">An employee accessing UAE-held personal data from another country is receiving that data there. Where the employer is in DIFC or ADGM, or the destination lacks an adequacy finding, safeguards are needed. Remote access counts even where nothing is downloaded.</w:t>
      </w:r>
    </w:p>
    <w:p>
      <w:pPr>
        <w:keepNext/>
        <w:spacing w:after="40" w:before="140"/>
      </w:pPr>
      <w:r>
        <w:rPr>
          <w:rFonts w:ascii="Calibri" w:cs="Calibri" w:eastAsia="Calibri" w:hAnsi="Calibri"/>
          <w:b/>
          <w:bCs/>
          <w:color w:val="14161B"/>
          <w:sz w:val="20"/>
          <w:szCs w:val="20"/>
        </w:rPr>
        <w:t xml:space="preserve">Employee data is sensitive and abundant</w:t>
      </w:r>
    </w:p>
    <w:p>
      <w:pPr>
        <w:spacing w:after="60" w:line="264"/>
        <w:jc w:val="both"/>
      </w:pPr>
      <w:r>
        <w:rPr>
          <w:rFonts w:ascii="Calibri" w:cs="Calibri" w:eastAsia="Calibri" w:hAnsi="Calibri"/>
          <w:sz w:val="19"/>
          <w:szCs w:val="19"/>
        </w:rPr>
        <w:t xml:space="preserve">Passport copies, Emirates ID copies, visa records and medical test results all pass through a UAE employer, and much of it is sensitive personal data. Access to HR systems should be narrow and logged.</w:t>
      </w:r>
    </w:p>
    <w:p>
      <w:pPr>
        <w:keepNext/>
        <w:spacing w:after="40" w:before="140"/>
      </w:pPr>
      <w:r>
        <w:rPr>
          <w:rFonts w:ascii="Calibri" w:cs="Calibri" w:eastAsia="Calibri" w:hAnsi="Calibri"/>
          <w:b/>
          <w:bCs/>
          <w:color w:val="14161B"/>
          <w:sz w:val="20"/>
          <w:szCs w:val="20"/>
        </w:rPr>
        <w:t xml:space="preserve">Tell people about monitoring</w:t>
      </w:r>
    </w:p>
    <w:p>
      <w:pPr>
        <w:spacing w:after="60" w:line="264"/>
        <w:jc w:val="both"/>
      </w:pPr>
      <w:r>
        <w:rPr>
          <w:rFonts w:ascii="Calibri" w:cs="Calibri" w:eastAsia="Calibri" w:hAnsi="Calibri"/>
          <w:sz w:val="19"/>
          <w:szCs w:val="19"/>
        </w:rPr>
        <w:t xml:space="preserve">Monitoring is permissible and sensible, but it must be proportionate and disclosed. Covert monitoring without a clear lawful basis is a data protection breach and, separately, destroys trust once discovered.</w:t>
      </w:r>
    </w:p>
    <w:p>
      <w:pPr>
        <w:keepNext/>
        <w:spacing w:after="40" w:before="140"/>
      </w:pPr>
      <w:r>
        <w:rPr>
          <w:rFonts w:ascii="Calibri" w:cs="Calibri" w:eastAsia="Calibri" w:hAnsi="Calibri"/>
          <w:b/>
          <w:bCs/>
          <w:color w:val="14161B"/>
          <w:sz w:val="20"/>
          <w:szCs w:val="20"/>
        </w:rPr>
        <w:t xml:space="preserve">Personal devices need a clear position</w:t>
      </w:r>
    </w:p>
    <w:p>
      <w:pPr>
        <w:spacing w:after="60" w:line="264"/>
        <w:jc w:val="both"/>
      </w:pPr>
      <w:r>
        <w:rPr>
          <w:rFonts w:ascii="Calibri" w:cs="Calibri" w:eastAsia="Calibri" w:hAnsi="Calibri"/>
          <w:sz w:val="19"/>
          <w:szCs w:val="19"/>
        </w:rPr>
        <w:t xml:space="preserve">Either permit them with security requirements and a right to remove Company data, or prohibit them. The middle position — tolerating them without rules — is where Company data ends up on unmanaged phones and personal cloud accounts.</w:t>
      </w:r>
    </w:p>
    <w:p>
      <w:pPr>
        <w:keepNext/>
        <w:spacing w:after="40" w:before="140"/>
      </w:pPr>
      <w:r>
        <w:rPr>
          <w:rFonts w:ascii="Calibri" w:cs="Calibri" w:eastAsia="Calibri" w:hAnsi="Calibri"/>
          <w:b/>
          <w:bCs/>
          <w:color w:val="14161B"/>
          <w:sz w:val="20"/>
          <w:szCs w:val="20"/>
        </w:rPr>
        <w:t xml:space="preserve">Review access quarterly against actual roles</w:t>
      </w:r>
    </w:p>
    <w:p>
      <w:pPr>
        <w:spacing w:after="60" w:line="264"/>
        <w:jc w:val="both"/>
      </w:pPr>
      <w:r>
        <w:rPr>
          <w:rFonts w:ascii="Calibri" w:cs="Calibri" w:eastAsia="Calibri" w:hAnsi="Calibri"/>
          <w:sz w:val="19"/>
          <w:szCs w:val="19"/>
        </w:rPr>
        <w:t xml:space="preserve">Access accumulates as people move between roles and nobody removes what they no longer need. A quarterly review against current responsibilities is the control that prevents a single compromised account reaching everything.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cybercrime framework, data protection regimes and their breach notification requirements, and rules on online content and VPN use all change — confirm the current position with a UAE adviser, and note that DIFC and ADGM entities follow their own data protection regimes.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2026-08-23T16:28:35.238Z</dcterms:created>
  <dcterms:modified xsi:type="dcterms:W3CDTF">2026-08-23T16:28:35.238Z</dcterms:modified>
</cp:coreProperties>
</file>

<file path=docProps/custom.xml><?xml version="1.0" encoding="utf-8"?>
<Properties xmlns="http://schemas.openxmlformats.org/officeDocument/2006/custom-properties" xmlns:vt="http://schemas.openxmlformats.org/officeDocument/2006/docPropsVTypes"/>
</file>