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HEALTH INSURANCE AND BENEFITS</w:t>
      </w:r>
    </w:p>
    <w:p>
      <w:pPr>
        <w:spacing w:after="260"/>
        <w:jc w:val="center"/>
      </w:pPr>
      <w:r>
        <w:rPr>
          <w:rFonts w:ascii="Calibri" w:cs="Calibri" w:eastAsia="Calibri" w:hAnsi="Calibri"/>
          <w:i/>
          <w:iCs/>
          <w:color w:val="6E7480"/>
          <w:sz w:val="19"/>
          <w:szCs w:val="19"/>
        </w:rPr>
        <w:t xml:space="preserve">What is mandatory and what is a choice</w:t>
      </w:r>
    </w:p>
    <w:p>
      <w:pPr>
        <w:spacing w:after="180" w:before="0" w:line="276"/>
        <w:jc w:val="both"/>
      </w:pPr>
      <w:r>
        <w:rPr>
          <w:rFonts w:ascii="Calibri" w:cs="Calibri" w:eastAsia="Calibri" w:hAnsi="Calibri"/>
          <w:i/>
          <w:iCs/>
          <w:color w:val="6E7480"/>
          <w:sz w:val="21"/>
          <w:szCs w:val="21"/>
        </w:rPr>
        <w:t xml:space="preserve">Health insurance is </w:t>
      </w:r>
      <w:r>
        <w:rPr>
          <w:rFonts w:ascii="Calibri" w:cs="Calibri" w:eastAsia="Calibri" w:hAnsi="Calibri"/>
          <w:b/>
          <w:bCs/>
          <w:i/>
          <w:iCs/>
          <w:color w:val="6E7480"/>
          <w:sz w:val="21"/>
          <w:szCs w:val="21"/>
        </w:rPr>
        <w:t xml:space="preserve">mandatory and tied to the visa</w:t>
      </w:r>
      <w:r>
        <w:rPr>
          <w:rFonts w:ascii="Calibri" w:cs="Calibri" w:eastAsia="Calibri" w:hAnsi="Calibri"/>
          <w:i/>
          <w:iCs/>
          <w:color w:val="6E7480"/>
          <w:sz w:val="21"/>
          <w:szCs w:val="21"/>
        </w:rPr>
        <w:t xml:space="preserve"> — a residence visa will not issue or renew without it. The requirements differ by emirate, and the cost cannot be passed to the employee. Everything beyond that is a benefits decision, and the one to get right early is the </w:t>
      </w:r>
      <w:r>
        <w:rPr>
          <w:rFonts w:ascii="Calibri" w:cs="Calibri" w:eastAsia="Calibri" w:hAnsi="Calibri"/>
          <w:b/>
          <w:bCs/>
          <w:i/>
          <w:iCs/>
          <w:color w:val="6E7480"/>
          <w:sz w:val="21"/>
          <w:szCs w:val="21"/>
        </w:rPr>
        <w:t xml:space="preserve">basic-to-allowance split</w:t>
      </w:r>
      <w:r>
        <w:rPr>
          <w:rFonts w:ascii="Calibri" w:cs="Calibri" w:eastAsia="Calibri" w:hAnsi="Calibri"/>
          <w:i/>
          <w:iCs/>
          <w:color w:val="6E7480"/>
          <w:sz w:val="21"/>
          <w:szCs w:val="21"/>
        </w:rPr>
        <w:t xml:space="preserve">, because it silently determines gratuity.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 where employees are based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w:t>
            </w:r>
            <w:r>
              <w:rPr>
                <w:rFonts w:ascii="Calibri" w:cs="Calibri" w:eastAsia="Calibri" w:hAnsi="Calibri"/>
                <w:sz w:val="19"/>
                <w:szCs w:val="19"/>
              </w:rPr>
              <w:t xml:space="preserve"> — requirements are emirate-specific</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Employees covered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Insurer and plan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[PLAN]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Policy number and renewal</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renews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Dependants — whose obligation?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[Employer / employee — confirm for the emirate]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 injury cover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[INSURER]</w:t>
            </w:r>
            <w:r>
              <w:rPr>
                <w:rFonts w:ascii="Calibri" w:cs="Calibri" w:eastAsia="Calibri" w:hAnsi="Calibri"/>
                <w:sz w:val="19"/>
                <w:szCs w:val="19"/>
              </w:rPr>
              <w:t xml:space="preserve">, expiry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[Life or income protection]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 / none]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Benefits reviewed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MANDATORY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Health insurance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Employer must provide.</w:t>
            </w:r>
            <w:r>
              <w:rPr>
                <w:rFonts w:ascii="Calibri" w:cs="Calibri" w:eastAsia="Calibri" w:hAnsi="Calibri"/>
                <w:sz w:val="18"/>
                <w:szCs w:val="18"/>
              </w:rPr>
              <w:t xml:space="preserve"> Requirements, minimum benefits and enrolment rules are set by emirate. </w:t>
            </w:r>
            <w:r>
              <w:rPr>
                <w:rFonts w:ascii="Calibri" w:cs="Calibri" w:eastAsia="Calibri" w:hAnsi="Calibri"/>
                <w:b/>
                <w:bCs/>
                <w:sz w:val="18"/>
                <w:szCs w:val="18"/>
              </w:rPr>
              <w:t xml:space="preserve">The visa depends on it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Work injury compensation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Cover for injury and occupational illness arising out of and in the course of employment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End-of-service gratuity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Mainland and most free zones — accrued on basic salary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Funded scheme contributions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DIFC and ADGM</w:t>
            </w:r>
            <w:r>
              <w:rPr>
                <w:rFonts w:ascii="Calibri" w:cs="Calibri" w:eastAsia="Calibri" w:hAnsi="Calibri"/>
                <w:sz w:val="18"/>
                <w:szCs w:val="18"/>
              </w:rPr>
              <w:t xml:space="preserve"> — monthly, in place of gratuity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GPSSA</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Emirati employees — employer and employee contributions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ILOE unemployment insurance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employee’s obligation</w:t>
            </w:r>
            <w:r>
              <w:rPr>
                <w:rFonts w:ascii="Calibri" w:cs="Calibri" w:eastAsia="Calibri" w:hAnsi="Calibri"/>
                <w:sz w:val="18"/>
                <w:szCs w:val="18"/>
              </w:rPr>
              <w:t xml:space="preserve">, but tell them — non-subscription attracts a fine and can block a future permit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[Dependant cover]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 for the emirate</w:t>
            </w:r>
            <w:r>
              <w:rPr>
                <w:rFonts w:ascii="Calibri" w:cs="Calibri" w:eastAsia="Calibri" w:hAnsi="Calibri"/>
                <w:sz w:val="18"/>
                <w:szCs w:val="18"/>
              </w:rPr>
              <w:t xml:space="preserve"> — whose obligation it is varies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 leave and pay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sick, maternity, parental, bereavement, study</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None of these costs may be recovered from the employee.</w:t>
      </w:r>
      <w:r>
        <w:rPr>
          <w:rFonts w:ascii="Calibri" w:cs="Calibri" w:eastAsia="Calibri" w:hAnsi="Calibri"/>
          <w:sz w:val="21"/>
          <w:szCs w:val="21"/>
        </w:rPr>
        <w:t xml:space="preserve"> Health insurance premiums, work injury cover, permit and visa costs are employer costs by law.</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The dependant question genuinely varies by emirate. Confirm whether cover for spouses and children falls on the employer or the sponsoring employee, because it materially changes the cost of a hire.</w:t>
      </w:r>
    </w:p>
    <w:p>
      <w:pPr>
        <w:keepNext/>
        <w:spacing w:after="120" w:before="280"/>
        <w:outlineLvl w:val="0"/>
      </w:pPr>
      <w:r>
        <w:rPr>
          <w:rFonts w:ascii="Calibri" w:cs="Calibri" w:eastAsia="Calibri" w:hAnsi="Calibri"/>
          <w:b/>
          <w:bCs/>
          <w:color w:val="14161B"/>
          <w:sz w:val="22"/>
          <w:szCs w:val="22"/>
        </w:rPr>
        <w:t xml:space="preserve">2. HEALTH INSURANCE IN PRACTICE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626"/>
        <w:gridCol w:w="2698"/>
        <w:gridCol w:w="1929"/>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Task</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When</w:t>
            </w:r>
          </w:p>
        </w:tc>
        <w:tc>
          <w:tcPr>
            <w:tcW w:type="dxa" w:w="19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requirements for the emirate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hiring</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Select a plan meeting at least the minimum benefits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Enrol before the visa application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employee</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Issue cards and explain the network and process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joining</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new joiners promptly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days</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or remove dependants as instructed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change</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Remove leavers on the correct date, not before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departure</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Renew before expiry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Reconcile the insurer list to the payroll list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Monthly</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Handle claims data as sensitive personal data</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Task 9 is the control that matters. Employees fall off insurer lists at renewal, or are never added after joining, and nobody notices until a claim is refused or a visa renewal is blocked. A monthly reconciliation against payroll catches it.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Do not cancel cover before the employee’s last day</w:t>
      </w:r>
      <w:r>
        <w:rPr>
          <w:rFonts w:ascii="Calibri" w:cs="Calibri" w:eastAsia="Calibri" w:hAnsi="Calibri"/>
          <w:sz w:val="21"/>
          <w:szCs w:val="21"/>
        </w:rPr>
        <w:t xml:space="preserve">, and confirm the end date to them. An employee whose cover ended silently mid-treatment has a legitimate grievance.</w:t>
      </w:r>
    </w:p>
    <w:p>
      <w:pPr>
        <w:keepNext/>
        <w:spacing w:after="120" w:before="280"/>
        <w:outlineLvl w:val="0"/>
      </w:pPr>
      <w:r>
        <w:rPr>
          <w:rFonts w:ascii="Calibri" w:cs="Calibri" w:eastAsia="Calibri" w:hAnsi="Calibri"/>
          <w:b/>
          <w:bCs/>
          <w:color w:val="14161B"/>
          <w:sz w:val="22"/>
          <w:szCs w:val="22"/>
        </w:rPr>
        <w:t xml:space="preserve">3. THE BASIC-TO-ALLOWANCE SPLIT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Salary is typically expressed as </w:t>
      </w:r>
      <w:r>
        <w:rPr>
          <w:rFonts w:ascii="Calibri" w:cs="Calibri" w:eastAsia="Calibri" w:hAnsi="Calibri"/>
          <w:b/>
          <w:bCs/>
          <w:sz w:val="21"/>
          <w:szCs w:val="21"/>
        </w:rPr>
        <w:t xml:space="preserve">basic salary</w:t>
      </w:r>
      <w:r>
        <w:rPr>
          <w:rFonts w:ascii="Calibri" w:cs="Calibri" w:eastAsia="Calibri" w:hAnsi="Calibri"/>
          <w:sz w:val="21"/>
          <w:szCs w:val="21"/>
        </w:rPr>
        <w:t xml:space="preserve"> plus allowances — housing, transport, and others.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Gratuity is calculated on basic salary alone.</w:t>
      </w:r>
      <w:r>
        <w:rPr>
          <w:rFonts w:ascii="Calibri" w:cs="Calibri" w:eastAsia="Calibri" w:hAnsi="Calibri"/>
          <w:sz w:val="21"/>
          <w:szCs w:val="21"/>
        </w:rPr>
        <w:t xml:space="preserve"> A package weighted towards allowances produces a materially smaller end-of-service payment than one weighted towards basic.</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2120"/>
        <w:gridCol w:w="2120"/>
        <w:gridCol w:w="3278"/>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Package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Basic</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Allowances</w:t>
            </w:r>
          </w:p>
        </w:tc>
        <w:tc>
          <w:tcPr>
            <w:tcW w:type="dxa" w:w="32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Gratuity after 5 years (illustrative)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AED 20,000</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AED 10,000</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AED 10,000</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[Lower]</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AED 20,000</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AED 12,000</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AED 8,000</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[Higher]</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AED 20,000</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AED 6,000</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AED 14,000</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[Lowest]</w:t>
            </w:r>
          </w:p>
        </w:tc>
      </w:tr>
    </w:tbl>
    <w:p>
      <w:pPr>
        <w:spacing w:after="140"/>
      </w:pP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Set the split deliberately and explain it at offer stage.</w:t>
      </w:r>
      <w:r>
        <w:rPr>
          <w:rFonts w:ascii="Calibri" w:cs="Calibri" w:eastAsia="Calibri" w:hAnsi="Calibri"/>
          <w:sz w:val="21"/>
          <w:szCs w:val="21"/>
        </w:rPr>
        <w:t xml:space="preserve"> Candidates comparing total packages rarely know this, and discovering it at the end of service feels like a trick.</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In DIFC and ADGM the split has a </w:t>
      </w:r>
      <w:r>
        <w:rPr>
          <w:rFonts w:ascii="Calibri" w:cs="Calibri" w:eastAsia="Calibri" w:hAnsi="Calibri"/>
          <w:b/>
          <w:bCs/>
          <w:sz w:val="21"/>
          <w:szCs w:val="21"/>
        </w:rPr>
        <w:t xml:space="preserve">monthly</w:t>
      </w:r>
      <w:r>
        <w:rPr>
          <w:rFonts w:ascii="Calibri" w:cs="Calibri" w:eastAsia="Calibri" w:hAnsi="Calibri"/>
          <w:sz w:val="21"/>
          <w:szCs w:val="21"/>
        </w:rPr>
        <w:t xml:space="preserve"> rather than deferred consequence, because scheme contributions are a percentage of basic salary.</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The split cannot be changed to the employee’s disadvantage without written consent and a formal contract amendment.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DISCRETIONARY BENEFITS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Benefit</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Enhanced medical plan or dependant cover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Among the most valued; cost is real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[Life or income protection]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Uncommon and therefore differentiating</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 flight allowance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Market-standard for many expatriate roles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Education assistance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Significant for staff with families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Housing provided or allowance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Structure affects the basic-to-allowance split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Transport or car allowance</w:t>
            </w:r>
          </w:p>
        </w:tc>
        <w:tc>
          <w:tcPr>
            <w:tcW w:type="dxa" w:w="6362"/>
            <w:tcMar>
              <w:top w:type="dxa" w:w="70"/>
              <w:left w:type="dxa" w:w="100"/>
              <w:bottom w:type="dxa" w:w="70"/>
              <w:right w:type="dxa" w:w="100"/>
            </w:tcMar>
            <w:vAlign w:val="center"/>
          </w:tcPr>
          <w:p>
            <w:pPr>
              <w:spacing w:after="0" w:line="240"/>
              <w:jc w:val="left"/>
            </w:pP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Wellness, gym or mental health support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Low cost, well received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[Bonus or commission]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State clearly whether discretionary or contractual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[Equity or phantom units]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See the employee equity document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Additional leave above the statutory minimum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Cannot be less than statutory</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Say whether a bonus is discretionary or contractual, and mean it.</w:t>
      </w:r>
      <w:r>
        <w:rPr>
          <w:rFonts w:ascii="Calibri" w:cs="Calibri" w:eastAsia="Calibri" w:hAnsi="Calibri"/>
          <w:sz w:val="21"/>
          <w:szCs w:val="21"/>
        </w:rPr>
        <w:t xml:space="preserve"> A "discretionary" bonus paid at the same level for four consecutive years starts to look like an expectation, and withdrawing it produces a dispute.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Benefits stated in the contract become contractual terms and cannot be withdrawn unilaterally. Benefits in a handbook expressed as policy can be varied — which is why the handbook should say it is not contractual.</w:t>
      </w:r>
    </w:p>
    <w:p>
      <w:pPr>
        <w:keepNext/>
        <w:spacing w:after="120" w:before="280"/>
        <w:outlineLvl w:val="0"/>
      </w:pPr>
      <w:r>
        <w:rPr>
          <w:rFonts w:ascii="Calibri" w:cs="Calibri" w:eastAsia="Calibri" w:hAnsi="Calibri"/>
          <w:b/>
          <w:bCs/>
          <w:color w:val="14161B"/>
          <w:sz w:val="22"/>
          <w:szCs w:val="22"/>
        </w:rPr>
        <w:t xml:space="preserve">5. COST OF EMPLOYMENT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6168"/>
        <w:gridCol w:w="3470"/>
      </w:tblGrid>
      <w:tr>
        <w:trPr>
          <w:cantSplit/>
          <w:tblHeader/>
        </w:trPr>
        <w:tc>
          <w:tcPr>
            <w:tcW w:type="dxa" w:w="616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347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AED per year</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Basic salary</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Allowances</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Gratuity accrual or scheme contributions</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[GPSSA — Emirati employees]</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Health insurance</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[Dependant cover where the employer bears it]</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injury cover — apportioned</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Work permit and visa — amortised</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Medical test and Emirates ID</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[Flight allowance]</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[Repatriation provision]</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Recruitment cost — amortised</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cost of employment</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Model this before agreeing a salary. Employers budget the salary and are surprised by the rest, which for a foreign hire is a substantial addition — and none of it can be recovered from the employee.</w:t>
      </w:r>
    </w:p>
    <w:p>
      <w:pPr>
        <w:keepNext/>
        <w:spacing w:after="120" w:before="280"/>
        <w:outlineLvl w:val="0"/>
      </w:pPr>
      <w:r>
        <w:rPr>
          <w:rFonts w:ascii="Calibri" w:cs="Calibri" w:eastAsia="Calibri" w:hAnsi="Calibri"/>
          <w:b/>
          <w:bCs/>
          <w:color w:val="14161B"/>
          <w:sz w:val="22"/>
          <w:szCs w:val="22"/>
        </w:rPr>
        <w:t xml:space="preserve">6. HANDLING HEALTH DATA</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Enrolment details, claims information and medical fitness results are </w:t>
      </w:r>
      <w:r>
        <w:rPr>
          <w:rFonts w:ascii="Calibri" w:cs="Calibri" w:eastAsia="Calibri" w:hAnsi="Calibri"/>
          <w:b/>
          <w:bCs/>
          <w:sz w:val="21"/>
          <w:szCs w:val="21"/>
        </w:rPr>
        <w:t xml:space="preserve">sensitive personal data</w:t>
      </w:r>
      <w:r>
        <w:rPr>
          <w:rFonts w:ascii="Calibri" w:cs="Calibri" w:eastAsia="Calibri" w:hAnsi="Calibri"/>
          <w:sz w:val="21"/>
          <w:szCs w:val="21"/>
        </w:rPr>
        <w:t xml:space="preserve"> under the applicable regime.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Access is restricted to those who need it. Managers do not need access to an employee’s claims history.</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Health data is retained for a </w:t>
      </w:r>
      <w:r>
        <w:rPr>
          <w:rFonts w:ascii="Calibri" w:cs="Calibri" w:eastAsia="Calibri" w:hAnsi="Calibri"/>
          <w:b/>
          <w:bCs/>
          <w:sz w:val="21"/>
          <w:szCs w:val="21"/>
        </w:rPr>
        <w:t xml:space="preserve">shorter period</w:t>
      </w:r>
      <w:r>
        <w:rPr>
          <w:rFonts w:ascii="Calibri" w:cs="Calibri" w:eastAsia="Calibri" w:hAnsi="Calibri"/>
          <w:sz w:val="21"/>
          <w:szCs w:val="21"/>
        </w:rPr>
        <w:t xml:space="preserve"> than the general personnel file and deleted on schedule.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insurer is a recipient of that data and should be covered by an appropriate processing arrangement, and identified in the </w:t>
      </w:r>
      <w:r>
        <w:rPr>
          <w:rFonts w:ascii="Calibri" w:cs="Calibri" w:eastAsia="Calibri" w:hAnsi="Calibri"/>
          <w:b/>
          <w:bCs/>
          <w:sz w:val="21"/>
          <w:szCs w:val="21"/>
        </w:rPr>
        <w:t xml:space="preserve">employee privacy notice</w:t>
      </w:r>
      <w:r>
        <w:rPr>
          <w:rFonts w:ascii="Calibri" w:cs="Calibri" w:eastAsia="Calibri" w:hAnsi="Calibri"/>
          <w:sz w:val="21"/>
          <w:szCs w:val="21"/>
        </w:rPr>
        <w:t xml:space="preserv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Health insurance is tied to the visa</w:t>
      </w:r>
    </w:p>
    <w:p>
      <w:pPr>
        <w:spacing w:after="60" w:line="264"/>
        <w:jc w:val="both"/>
      </w:pPr>
      <w:r>
        <w:rPr>
          <w:rFonts w:ascii="Calibri" w:cs="Calibri" w:eastAsia="Calibri" w:hAnsi="Calibri"/>
          <w:sz w:val="19"/>
          <w:szCs w:val="19"/>
        </w:rPr>
        <w:t xml:space="preserve">A residence visa will not issue or renew without valid cover. Requirements and minimum benefits are set by emirate, so confirm for the emirate where employees are actually based rather than where the company is licensed.</w:t>
      </w:r>
    </w:p>
    <w:p>
      <w:pPr>
        <w:keepNext/>
        <w:spacing w:after="40" w:before="140"/>
      </w:pPr>
      <w:r>
        <w:rPr>
          <w:rFonts w:ascii="Calibri" w:cs="Calibri" w:eastAsia="Calibri" w:hAnsi="Calibri"/>
          <w:b/>
          <w:bCs/>
          <w:color w:val="14161B"/>
          <w:sz w:val="20"/>
          <w:szCs w:val="20"/>
        </w:rPr>
        <w:t xml:space="preserve">Confirm the dependant position for the emirate</w:t>
      </w:r>
    </w:p>
    <w:p>
      <w:pPr>
        <w:spacing w:after="60" w:line="264"/>
        <w:jc w:val="both"/>
      </w:pPr>
      <w:r>
        <w:rPr>
          <w:rFonts w:ascii="Calibri" w:cs="Calibri" w:eastAsia="Calibri" w:hAnsi="Calibri"/>
          <w:sz w:val="19"/>
          <w:szCs w:val="19"/>
        </w:rPr>
        <w:t xml:space="preserve">Whether cover for spouses and children falls on the employer or the sponsoring employee genuinely varies. It materially changes the cost of hiring someone with a family, and assuming the wrong answer distorts the budget.</w:t>
      </w:r>
    </w:p>
    <w:p>
      <w:pPr>
        <w:keepNext/>
        <w:spacing w:after="40" w:before="140"/>
      </w:pPr>
      <w:r>
        <w:rPr>
          <w:rFonts w:ascii="Calibri" w:cs="Calibri" w:eastAsia="Calibri" w:hAnsi="Calibri"/>
          <w:b/>
          <w:bCs/>
          <w:color w:val="14161B"/>
          <w:sz w:val="20"/>
          <w:szCs w:val="20"/>
        </w:rPr>
        <w:t xml:space="preserve">None of it can be charged to the employee</w:t>
      </w:r>
    </w:p>
    <w:p>
      <w:pPr>
        <w:spacing w:after="60" w:line="264"/>
        <w:jc w:val="both"/>
      </w:pPr>
      <w:r>
        <w:rPr>
          <w:rFonts w:ascii="Calibri" w:cs="Calibri" w:eastAsia="Calibri" w:hAnsi="Calibri"/>
          <w:sz w:val="19"/>
          <w:szCs w:val="19"/>
        </w:rPr>
        <w:t xml:space="preserve">Health insurance premiums, work injury cover, permit, visa, medical test and Emirates ID are all employer costs by law, and indirect recovery through salary structure or a repayment clause is equally prohibited.</w:t>
      </w:r>
    </w:p>
    <w:p>
      <w:pPr>
        <w:keepNext/>
        <w:spacing w:after="40" w:before="140"/>
      </w:pPr>
      <w:r>
        <w:rPr>
          <w:rFonts w:ascii="Calibri" w:cs="Calibri" w:eastAsia="Calibri" w:hAnsi="Calibri"/>
          <w:b/>
          <w:bCs/>
          <w:color w:val="14161B"/>
          <w:sz w:val="20"/>
          <w:szCs w:val="20"/>
        </w:rPr>
        <w:t xml:space="preserve">Reconcile the insurer list to payroll monthly</w:t>
      </w:r>
    </w:p>
    <w:p>
      <w:pPr>
        <w:spacing w:after="60" w:line="264"/>
        <w:jc w:val="both"/>
      </w:pPr>
      <w:r>
        <w:rPr>
          <w:rFonts w:ascii="Calibri" w:cs="Calibri" w:eastAsia="Calibri" w:hAnsi="Calibri"/>
          <w:sz w:val="19"/>
          <w:szCs w:val="19"/>
        </w:rPr>
        <w:t xml:space="preserve">Employees fall off insurer lists at renewal or are never added after joining, and nobody notices until a claim is refused or a visa renewal is blocked. A monthly reconciliation is the control that catches it.</w:t>
      </w:r>
    </w:p>
    <w:p>
      <w:pPr>
        <w:keepNext/>
        <w:spacing w:after="40" w:before="140"/>
      </w:pPr>
      <w:r>
        <w:rPr>
          <w:rFonts w:ascii="Calibri" w:cs="Calibri" w:eastAsia="Calibri" w:hAnsi="Calibri"/>
          <w:b/>
          <w:bCs/>
          <w:color w:val="14161B"/>
          <w:sz w:val="20"/>
          <w:szCs w:val="20"/>
        </w:rPr>
        <w:t xml:space="preserve">Do not cancel cover early</w:t>
      </w:r>
    </w:p>
    <w:p>
      <w:pPr>
        <w:spacing w:after="60" w:line="264"/>
        <w:jc w:val="both"/>
      </w:pPr>
      <w:r>
        <w:rPr>
          <w:rFonts w:ascii="Calibri" w:cs="Calibri" w:eastAsia="Calibri" w:hAnsi="Calibri"/>
          <w:sz w:val="19"/>
          <w:szCs w:val="19"/>
        </w:rPr>
        <w:t xml:space="preserve">Cover should end on the correct date, not when the leaver process starts. An employee whose insurance ended silently mid-treatment has a legitimate grievance, and confirming the end date to them costs nothing.</w:t>
      </w:r>
    </w:p>
    <w:p>
      <w:pPr>
        <w:keepNext/>
        <w:spacing w:after="40" w:before="140"/>
      </w:pPr>
      <w:r>
        <w:rPr>
          <w:rFonts w:ascii="Calibri" w:cs="Calibri" w:eastAsia="Calibri" w:hAnsi="Calibri"/>
          <w:b/>
          <w:bCs/>
          <w:color w:val="14161B"/>
          <w:sz w:val="20"/>
          <w:szCs w:val="20"/>
        </w:rPr>
        <w:t xml:space="preserve">The basic-to-allowance split determines gratuity</w:t>
      </w:r>
    </w:p>
    <w:p>
      <w:pPr>
        <w:spacing w:after="60" w:line="264"/>
        <w:jc w:val="both"/>
      </w:pPr>
      <w:r>
        <w:rPr>
          <w:rFonts w:ascii="Calibri" w:cs="Calibri" w:eastAsia="Calibri" w:hAnsi="Calibri"/>
          <w:sz w:val="19"/>
          <w:szCs w:val="19"/>
        </w:rPr>
        <w:t xml:space="preserve">Gratuity is calculated on basic salary alone, so two packages with identical totals can produce very different end-of-service payments. Set the split deliberately rather than copying a template.</w:t>
      </w:r>
    </w:p>
    <w:p>
      <w:pPr>
        <w:keepNext/>
        <w:spacing w:after="40" w:before="140"/>
      </w:pPr>
      <w:r>
        <w:rPr>
          <w:rFonts w:ascii="Calibri" w:cs="Calibri" w:eastAsia="Calibri" w:hAnsi="Calibri"/>
          <w:b/>
          <w:bCs/>
          <w:color w:val="14161B"/>
          <w:sz w:val="20"/>
          <w:szCs w:val="20"/>
        </w:rPr>
        <w:t xml:space="preserve">Explain the split at offer stage</w:t>
      </w:r>
    </w:p>
    <w:p>
      <w:pPr>
        <w:spacing w:after="60" w:line="264"/>
        <w:jc w:val="both"/>
      </w:pPr>
      <w:r>
        <w:rPr>
          <w:rFonts w:ascii="Calibri" w:cs="Calibri" w:eastAsia="Calibri" w:hAnsi="Calibri"/>
          <w:sz w:val="19"/>
          <w:szCs w:val="19"/>
        </w:rPr>
        <w:t xml:space="preserve">Candidates comparing total packages rarely know that only basic salary drives gratuity. Discovering it at the end of service feels like a trick and generates disputes that a single sentence at offer would have prevented.</w:t>
      </w:r>
    </w:p>
    <w:p>
      <w:pPr>
        <w:keepNext/>
        <w:spacing w:after="40" w:before="140"/>
      </w:pPr>
      <w:r>
        <w:rPr>
          <w:rFonts w:ascii="Calibri" w:cs="Calibri" w:eastAsia="Calibri" w:hAnsi="Calibri"/>
          <w:b/>
          <w:bCs/>
          <w:color w:val="14161B"/>
          <w:sz w:val="20"/>
          <w:szCs w:val="20"/>
        </w:rPr>
        <w:t xml:space="preserve">In DIFC and ADGM the split costs monthly</w:t>
      </w:r>
    </w:p>
    <w:p>
      <w:pPr>
        <w:spacing w:after="60" w:line="264"/>
        <w:jc w:val="both"/>
      </w:pPr>
      <w:r>
        <w:rPr>
          <w:rFonts w:ascii="Calibri" w:cs="Calibri" w:eastAsia="Calibri" w:hAnsi="Calibri"/>
          <w:sz w:val="19"/>
          <w:szCs w:val="19"/>
        </w:rPr>
        <w:t xml:space="preserve">Scheme contributions are a percentage of basic salary, so the split has an immediate cash consequence rather than a deferred one. That changes the calculus compared with a mainland package.</w:t>
      </w:r>
    </w:p>
    <w:p>
      <w:pPr>
        <w:keepNext/>
        <w:spacing w:after="40" w:before="140"/>
      </w:pPr>
      <w:r>
        <w:rPr>
          <w:rFonts w:ascii="Calibri" w:cs="Calibri" w:eastAsia="Calibri" w:hAnsi="Calibri"/>
          <w:b/>
          <w:bCs/>
          <w:color w:val="14161B"/>
          <w:sz w:val="20"/>
          <w:szCs w:val="20"/>
        </w:rPr>
        <w:t xml:space="preserve">The split cannot be worsened without consent</w:t>
      </w:r>
    </w:p>
    <w:p>
      <w:pPr>
        <w:spacing w:after="60" w:line="264"/>
        <w:jc w:val="both"/>
      </w:pPr>
      <w:r>
        <w:rPr>
          <w:rFonts w:ascii="Calibri" w:cs="Calibri" w:eastAsia="Calibri" w:hAnsi="Calibri"/>
          <w:sz w:val="19"/>
          <w:szCs w:val="19"/>
        </w:rPr>
        <w:t xml:space="preserve">Rebalancing a package to reduce basic salary is a variation requiring written consent and a formal contract amendment. Doing it quietly to reduce gratuity accrual is both unlawful and visible in the registered contract.</w:t>
      </w:r>
    </w:p>
    <w:p>
      <w:pPr>
        <w:keepNext/>
        <w:spacing w:after="40" w:before="140"/>
      </w:pPr>
      <w:r>
        <w:rPr>
          <w:rFonts w:ascii="Calibri" w:cs="Calibri" w:eastAsia="Calibri" w:hAnsi="Calibri"/>
          <w:b/>
          <w:bCs/>
          <w:color w:val="14161B"/>
          <w:sz w:val="20"/>
          <w:szCs w:val="20"/>
        </w:rPr>
        <w:t xml:space="preserve">Say whether a bonus is discretionary and behave accordingly</w:t>
      </w:r>
    </w:p>
    <w:p>
      <w:pPr>
        <w:spacing w:after="60" w:line="264"/>
        <w:jc w:val="both"/>
      </w:pPr>
      <w:r>
        <w:rPr>
          <w:rFonts w:ascii="Calibri" w:cs="Calibri" w:eastAsia="Calibri" w:hAnsi="Calibri"/>
          <w:sz w:val="19"/>
          <w:szCs w:val="19"/>
        </w:rPr>
        <w:t xml:space="preserve">A discretionary bonus paid at the same level for several consecutive years becomes an expectation, and withdrawing it produces a dispute regardless of the wording. Either exercise the discretion genuinely or make it contractual.</w:t>
      </w:r>
    </w:p>
    <w:p>
      <w:pPr>
        <w:keepNext/>
        <w:spacing w:after="40" w:before="140"/>
      </w:pPr>
      <w:r>
        <w:rPr>
          <w:rFonts w:ascii="Calibri" w:cs="Calibri" w:eastAsia="Calibri" w:hAnsi="Calibri"/>
          <w:b/>
          <w:bCs/>
          <w:color w:val="14161B"/>
          <w:sz w:val="20"/>
          <w:szCs w:val="20"/>
        </w:rPr>
        <w:t xml:space="preserve">Contractual benefits cannot be withdrawn unilaterally</w:t>
      </w:r>
    </w:p>
    <w:p>
      <w:pPr>
        <w:spacing w:after="60" w:line="264"/>
        <w:jc w:val="both"/>
      </w:pPr>
      <w:r>
        <w:rPr>
          <w:rFonts w:ascii="Calibri" w:cs="Calibri" w:eastAsia="Calibri" w:hAnsi="Calibri"/>
          <w:sz w:val="19"/>
          <w:szCs w:val="19"/>
        </w:rPr>
        <w:t xml:space="preserve">A benefit written into the contract is a term. A benefit described in a handbook expressed as non-contractual policy can be varied. Decide which each benefit should be before offering it.</w:t>
      </w:r>
    </w:p>
    <w:p>
      <w:pPr>
        <w:keepNext/>
        <w:spacing w:after="40" w:before="140"/>
      </w:pPr>
      <w:r>
        <w:rPr>
          <w:rFonts w:ascii="Calibri" w:cs="Calibri" w:eastAsia="Calibri" w:hAnsi="Calibri"/>
          <w:b/>
          <w:bCs/>
          <w:color w:val="14161B"/>
          <w:sz w:val="20"/>
          <w:szCs w:val="20"/>
        </w:rPr>
        <w:t xml:space="preserve">Model the full cost of employment</w:t>
      </w:r>
    </w:p>
    <w:p>
      <w:pPr>
        <w:spacing w:after="60" w:line="264"/>
        <w:jc w:val="both"/>
      </w:pPr>
      <w:r>
        <w:rPr>
          <w:rFonts w:ascii="Calibri" w:cs="Calibri" w:eastAsia="Calibri" w:hAnsi="Calibri"/>
          <w:sz w:val="19"/>
          <w:szCs w:val="19"/>
        </w:rPr>
        <w:t xml:space="preserve">Salary is often well under the true annual cost once gratuity accrual, insurance, permit, visa, flights and repatriation provision are included. Employers budget the salary and are surprised by the rest.</w:t>
      </w:r>
    </w:p>
    <w:p>
      <w:pPr>
        <w:keepNext/>
        <w:spacing w:after="40" w:before="140"/>
      </w:pPr>
      <w:r>
        <w:rPr>
          <w:rFonts w:ascii="Calibri" w:cs="Calibri" w:eastAsia="Calibri" w:hAnsi="Calibri"/>
          <w:b/>
          <w:bCs/>
          <w:color w:val="14161B"/>
          <w:sz w:val="20"/>
          <w:szCs w:val="20"/>
        </w:rPr>
        <w:t xml:space="preserve">Tell employees about ILOE</w:t>
      </w:r>
    </w:p>
    <w:p>
      <w:pPr>
        <w:spacing w:after="60" w:line="264"/>
        <w:jc w:val="both"/>
      </w:pPr>
      <w:r>
        <w:rPr>
          <w:rFonts w:ascii="Calibri" w:cs="Calibri" w:eastAsia="Calibri" w:hAnsi="Calibri"/>
          <w:sz w:val="19"/>
          <w:szCs w:val="19"/>
        </w:rPr>
        <w:t xml:space="preserve">Unemployment insurance subscription is the employee’s own obligation, but non-subscription attracts a fine and can block a future work permit when they change employer. Mentioning it at induction prevents a problem the employer will hear about later.</w:t>
      </w:r>
    </w:p>
    <w:p>
      <w:pPr>
        <w:keepNext/>
        <w:spacing w:after="40" w:before="140"/>
      </w:pPr>
      <w:r>
        <w:rPr>
          <w:rFonts w:ascii="Calibri" w:cs="Calibri" w:eastAsia="Calibri" w:hAnsi="Calibri"/>
          <w:b/>
          <w:bCs/>
          <w:color w:val="14161B"/>
          <w:sz w:val="20"/>
          <w:szCs w:val="20"/>
        </w:rPr>
        <w:t xml:space="preserve">Treat health data as sensitive</w:t>
      </w:r>
    </w:p>
    <w:p>
      <w:pPr>
        <w:spacing w:after="60" w:line="264"/>
        <w:jc w:val="both"/>
      </w:pPr>
      <w:r>
        <w:rPr>
          <w:rFonts w:ascii="Calibri" w:cs="Calibri" w:eastAsia="Calibri" w:hAnsi="Calibri"/>
          <w:sz w:val="19"/>
          <w:szCs w:val="19"/>
        </w:rPr>
        <w:t xml:space="preserve">Enrolment, claims and medical fitness results are sensitive personal data. Restrict access, retain for a shorter period than the personnel file, cover the insurer in the privacy notice, and keep managers out of claims histories.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Health insurance requirements and minimum benefits differ by emirate and change, as do dependant obligations, GPSSA rates, DIFC and ADGM scheme rates and ILOE rules — confirm with the relevant health authority, MOHRE and your broker before setting or renewing benefits.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2026-08-23T16:28:32.685Z</dcterms:created>
  <dcterms:modified xsi:type="dcterms:W3CDTF">2026-08-23T16:28:32.685Z</dcterms:modified>
</cp:coreProperties>
</file>

<file path=docProps/custom.xml><?xml version="1.0" encoding="utf-8"?>
<Properties xmlns="http://schemas.openxmlformats.org/officeDocument/2006/custom-properties" xmlns:vt="http://schemas.openxmlformats.org/officeDocument/2006/docPropsVTypes"/>
</file>