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GROUP STRUCTURES</w:t>
      </w:r>
    </w:p>
    <w:p>
      <w:pPr>
        <w:spacing w:after="260"/>
        <w:jc w:val="center"/>
      </w:pPr>
      <w:r>
        <w:rPr>
          <w:rFonts w:ascii="Calibri" w:cs="Calibri" w:eastAsia="Calibri" w:hAnsi="Calibri"/>
          <w:i/>
          <w:iCs/>
          <w:color w:val="6E7480"/>
          <w:sz w:val="19"/>
          <w:szCs w:val="19"/>
        </w:rPr>
        <w:t xml:space="preserve">Holding companies, subsidiaries and intra-group dealings</w:t>
      </w:r>
    </w:p>
    <w:p>
      <w:pPr>
        <w:spacing w:after="180" w:before="0" w:line="276"/>
        <w:jc w:val="both"/>
      </w:pPr>
      <w:r>
        <w:rPr>
          <w:rFonts w:ascii="Calibri" w:cs="Calibri" w:eastAsia="Calibri" w:hAnsi="Calibri"/>
          <w:i/>
          <w:iCs/>
          <w:color w:val="6E7480"/>
          <w:sz w:val="21"/>
          <w:szCs w:val="21"/>
        </w:rPr>
        <w:t xml:space="preserve">A UAE group is frequently running </w:t>
      </w:r>
      <w:r>
        <w:rPr>
          <w:rFonts w:ascii="Calibri" w:cs="Calibri" w:eastAsia="Calibri" w:hAnsi="Calibri"/>
          <w:b/>
          <w:bCs/>
          <w:i/>
          <w:iCs/>
          <w:color w:val="6E7480"/>
          <w:sz w:val="21"/>
          <w:szCs w:val="21"/>
        </w:rPr>
        <w:t xml:space="preserve">two or three legal systems at once</w:t>
      </w:r>
      <w:r>
        <w:rPr>
          <w:rFonts w:ascii="Calibri" w:cs="Calibri" w:eastAsia="Calibri" w:hAnsi="Calibri"/>
          <w:i/>
          <w:iCs/>
          <w:color w:val="6E7480"/>
          <w:sz w:val="21"/>
          <w:szCs w:val="21"/>
        </w:rPr>
        <w:t xml:space="preserve"> — a mainland operating company, a free zone entity, and an ADGM or DIFC holdco above them. Each has its own employment law, its own data protection regime and its own tax analysis, and moving people, money or data between them crosses a boundary every time.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Group</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[GROUP 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Holding 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[ADGM / DIFC / offshore / mainland]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Operating entities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WITH JURISDICTIONS]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Regimes in play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Intra-group agreements in place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Transfer pricing documentation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[Prepared / not required — assess]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sharing arrangements documented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UBO position filed for each 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WHY THE STRUCTURE USUALLY EXISTS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Driver</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 answer</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Investment and equity mechanics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 DIFC or offshore holdco — mainland share transfers are notarised and slow</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equity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at the holdco; a mainland LLC cannot practically run a scheme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Mainland market access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mainland operating entity beneath</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 zone tax treatment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free zone entity for qualifying income — but watch the de minimis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Liability ring-fencing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Separate entities per business line or per risk</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Regulated activity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regulator may dictate the entity form</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[Legacy]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Entities accumulated without a plan — the most common reason of all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Structures assembled incrementally cost more than structures designed. Before adding an entity, ask what it is for, what it will cost annually to keep compliant, and who will own its filings.</w:t>
      </w:r>
    </w:p>
    <w:p>
      <w:pPr>
        <w:keepNext/>
        <w:spacing w:after="120" w:before="280"/>
        <w:outlineLvl w:val="0"/>
      </w:pPr>
      <w:r>
        <w:rPr>
          <w:rFonts w:ascii="Calibri" w:cs="Calibri" w:eastAsia="Calibri" w:hAnsi="Calibri"/>
          <w:b/>
          <w:bCs/>
          <w:color w:val="14161B"/>
          <w:sz w:val="22"/>
          <w:szCs w:val="22"/>
        </w:rPr>
        <w:t xml:space="preserve">2. WHAT CROSSES A BOUNDARY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Movement</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it triggers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 employee moves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termination and rehire</w:t>
            </w:r>
            <w:r>
              <w:rPr>
                <w:rFonts w:ascii="Calibri" w:cs="Calibri" w:eastAsia="Calibri" w:hAnsi="Calibri"/>
                <w:sz w:val="17"/>
                <w:szCs w:val="17"/>
              </w:rPr>
              <w:t xml:space="preserve"> — gratuity crystallises or the scheme benefit is dealt with; new permit and visa; 14-day settlement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Personal data moves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transfer</w:t>
            </w:r>
            <w:r>
              <w:rPr>
                <w:rFonts w:ascii="Calibri" w:cs="Calibri" w:eastAsia="Calibri" w:hAnsi="Calibri"/>
                <w:sz w:val="17"/>
                <w:szCs w:val="17"/>
              </w:rPr>
              <w:t xml:space="preserve"> — assessed under the exporting entity’s regime. DIFC to mainland is restricted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Money moves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Related party transaction — arm’s length pricing and documentation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Services provided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pricing; evidence that the service was actually delivered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Goods move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treatment; free zone qualifying income analysis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guarantee is given for another 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Commercial benefit test for the guarantor’s managers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IP is used across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and royalty; transfer pricing; who owns 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shared system is used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processing and transfer arrangements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Nothing is "internal" in a group spanning regimes.</w:t>
      </w:r>
      <w:r>
        <w:rPr>
          <w:rFonts w:ascii="Calibri" w:cs="Calibri" w:eastAsia="Calibri" w:hAnsi="Calibri"/>
          <w:sz w:val="21"/>
          <w:szCs w:val="21"/>
        </w:rPr>
        <w:t xml:space="preserve"> The habit of treating group entities as departments of one business is where most of the exposure comes from.</w:t>
      </w:r>
    </w:p>
    <w:p>
      <w:pPr>
        <w:keepNext/>
        <w:spacing w:after="120" w:before="280"/>
        <w:outlineLvl w:val="0"/>
      </w:pPr>
      <w:r>
        <w:rPr>
          <w:rFonts w:ascii="Calibri" w:cs="Calibri" w:eastAsia="Calibri" w:hAnsi="Calibri"/>
          <w:b/>
          <w:bCs/>
          <w:color w:val="14161B"/>
          <w:sz w:val="22"/>
          <w:szCs w:val="22"/>
        </w:rPr>
        <w:t xml:space="preserve">3. EMPLOYEES ACROSS THE GROUP</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Each entity is a separate employer. An employee is employed by </w:t>
      </w:r>
      <w:r>
        <w:rPr>
          <w:rFonts w:ascii="Calibri" w:cs="Calibri" w:eastAsia="Calibri" w:hAnsi="Calibri"/>
          <w:b/>
          <w:bCs/>
          <w:sz w:val="21"/>
          <w:szCs w:val="21"/>
        </w:rPr>
        <w:t xml:space="preserve">one</w:t>
      </w:r>
      <w:r>
        <w:rPr>
          <w:rFonts w:ascii="Calibri" w:cs="Calibri" w:eastAsia="Calibri" w:hAnsi="Calibri"/>
          <w:sz w:val="21"/>
          <w:szCs w:val="21"/>
        </w:rPr>
        <w:t xml:space="preserve"> entity, on that entity’s permit, under that jurisdiction’s law.</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Moving an employee to another group entity ends the first employment.</w:t>
      </w:r>
      <w:r>
        <w:rPr>
          <w:rFonts w:ascii="Calibri" w:cs="Calibri" w:eastAsia="Calibri" w:hAnsi="Calibri"/>
          <w:sz w:val="21"/>
          <w:szCs w:val="21"/>
        </w:rPr>
        <w:t xml:space="preserve"> Gratuity crystallises or the funded scheme benefit is dealt with, entitlements are settled within 14 days, and the permit and visa change.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Where an employee of one entity works for another, that is either a </w:t>
      </w:r>
      <w:r>
        <w:rPr>
          <w:rFonts w:ascii="Calibri" w:cs="Calibri" w:eastAsia="Calibri" w:hAnsi="Calibri"/>
          <w:b/>
          <w:bCs/>
          <w:sz w:val="21"/>
          <w:szCs w:val="21"/>
        </w:rPr>
        <w:t xml:space="preserve">secondment</w:t>
      </w:r>
      <w:r>
        <w:rPr>
          <w:rFonts w:ascii="Calibri" w:cs="Calibri" w:eastAsia="Calibri" w:hAnsi="Calibri"/>
          <w:sz w:val="21"/>
          <w:szCs w:val="21"/>
        </w:rPr>
        <w:t xml:space="preserve"> with a documented arrangement, or it is undeclared work on the wrong permit.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Where costs are recharged for shared staff, the recharge is a related party transaction requiring an arm’s length basis.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Groups routinely have a person employed by the free zone entity working full time at the mainland office, or vice versa. It is convenient, it is common, and it is a permit contravention.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INTRA-GROUP AGREEMENTS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4819"/>
        <w:gridCol w:w="154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Agreement</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is needed</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 place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Management or shared services agreement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Documents what is provided and how it is priced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Intra-group loan agreement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Arm’s length interest; avoids an adjustment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IP licence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owns it, who may use it, at what royalty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Data sharing or processing agreement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where data crosses regimes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Secondment agreement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staff work for another entity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Distribution or supply agreement between entities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goods move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Guarantee, with the commercial benefit recorded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one entity supports another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Cost sharing arrangement with an allocation basis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costs are pooled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The agreement must describe what actually happens.</w:t>
      </w:r>
      <w:r>
        <w:rPr>
          <w:rFonts w:ascii="Calibri" w:cs="Calibri" w:eastAsia="Calibri" w:hAnsi="Calibri"/>
          <w:sz w:val="21"/>
          <w:szCs w:val="21"/>
        </w:rPr>
        <w:t xml:space="preserve"> An agreement for services the parent does not provide, at a fee nobody analysed, is worse than none — it documents the wrong thing and hands an adjustment its own evidence.</w:t>
      </w:r>
    </w:p>
    <w:p>
      <w:pPr>
        <w:keepNext/>
        <w:spacing w:after="120" w:before="280"/>
        <w:outlineLvl w:val="0"/>
      </w:pPr>
      <w:r>
        <w:rPr>
          <w:rFonts w:ascii="Calibri" w:cs="Calibri" w:eastAsia="Calibri" w:hAnsi="Calibri"/>
          <w:b/>
          <w:bCs/>
          <w:color w:val="14161B"/>
          <w:sz w:val="22"/>
          <w:szCs w:val="22"/>
        </w:rPr>
        <w:t xml:space="preserve">5. TAX ACROSS THE GROUP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Each entity registers separately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registration is per taxable person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 zone entity claiming 0%</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pricing compliance is a QFZP condition; intra-group charges are the exposure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 minimis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Sales to a mainland group company are non-qualifying revenue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 group]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be available where conditions are met — assess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Transfer pricing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 to domestic intra-group dealings, not only cross-border</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Connected persons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owner, directors and their relatives — across every entity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 on payments to non-resident group entities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[Pillar Two]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group exceeds the consolidated revenue threshold</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The free zone entity selling to its own mainland sister company is the most common self-inflicted tax problem in a UAE group. That revenue is non-qualifying, it counts against a de minimis of the lower of AED 5,000,000 or 5% of revenue, and breaching it costs the 0% rate for five periods.</w:t>
      </w:r>
    </w:p>
    <w:p>
      <w:pPr>
        <w:keepNext/>
        <w:spacing w:after="120" w:before="280"/>
        <w:outlineLvl w:val="0"/>
      </w:pPr>
      <w:r>
        <w:rPr>
          <w:rFonts w:ascii="Calibri" w:cs="Calibri" w:eastAsia="Calibri" w:hAnsi="Calibri"/>
          <w:b/>
          <w:bCs/>
          <w:color w:val="14161B"/>
          <w:sz w:val="22"/>
          <w:szCs w:val="22"/>
        </w:rPr>
        <w:t xml:space="preserve">6. GROUP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590"/>
        <w:gridCol w:w="366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each entity actually for?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does each cost annually to keep compliant?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any dormant, and should they be closed or redomiciled?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every entity registered for corporate tax?</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intra-group revenue tracked against the de minimis?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intra-group agreements in place and accurate?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transfer pricing documentation prepared where required?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every employee employed by the entity whose permit they hold?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data flows between entities documented and safeguarded?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UBO position filed and current for each entity?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each entity have its own correct policy set?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owns compliance for each entity, by name?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Question 12 is the one that predicts everything else. Entities without a named owner drift — licences lapse, filings are missed, registers go stale — and the discovery usually comes from a bank or a buyer rather than from inside.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Nothing is internal across regimes</w:t>
      </w:r>
    </w:p>
    <w:p>
      <w:pPr>
        <w:spacing w:after="60" w:line="264"/>
        <w:jc w:val="both"/>
      </w:pPr>
      <w:r>
        <w:rPr>
          <w:rFonts w:ascii="Calibri" w:cs="Calibri" w:eastAsia="Calibri" w:hAnsi="Calibri"/>
          <w:sz w:val="19"/>
          <w:szCs w:val="19"/>
        </w:rPr>
        <w:t xml:space="preserve">A group spanning mainland, free zone and DIFC or ADGM is running two or three legal systems. Moving an employee, data, money, goods or IP between entities crosses a boundary every time. The habit of treating group companies as departments is where most exposure originates.</w:t>
      </w:r>
    </w:p>
    <w:p>
      <w:pPr>
        <w:keepNext/>
        <w:spacing w:after="40" w:before="140"/>
      </w:pPr>
      <w:r>
        <w:rPr>
          <w:rFonts w:ascii="Calibri" w:cs="Calibri" w:eastAsia="Calibri" w:hAnsi="Calibri"/>
          <w:b/>
          <w:bCs/>
          <w:color w:val="14161B"/>
          <w:sz w:val="20"/>
          <w:szCs w:val="20"/>
        </w:rPr>
        <w:t xml:space="preserve">Moving an employee is a termination and rehire</w:t>
      </w:r>
    </w:p>
    <w:p>
      <w:pPr>
        <w:spacing w:after="60" w:line="264"/>
        <w:jc w:val="both"/>
      </w:pPr>
      <w:r>
        <w:rPr>
          <w:rFonts w:ascii="Calibri" w:cs="Calibri" w:eastAsia="Calibri" w:hAnsi="Calibri"/>
          <w:sz w:val="19"/>
          <w:szCs w:val="19"/>
        </w:rPr>
        <w:t xml:space="preserve">Each entity is a separate employer under a potentially different law. A move ends the first employment: gratuity crystallises or the funded scheme benefit is dealt with, entitlements are due within 14 days, and the permit and visa change. Groups treat it as an internal transfer and leave benefits unsettled for years.</w:t>
      </w:r>
    </w:p>
    <w:p>
      <w:pPr>
        <w:keepNext/>
        <w:spacing w:after="40" w:before="140"/>
      </w:pPr>
      <w:r>
        <w:rPr>
          <w:rFonts w:ascii="Calibri" w:cs="Calibri" w:eastAsia="Calibri" w:hAnsi="Calibri"/>
          <w:b/>
          <w:bCs/>
          <w:color w:val="14161B"/>
          <w:sz w:val="20"/>
          <w:szCs w:val="20"/>
        </w:rPr>
        <w:t xml:space="preserve">Staff working for the wrong entity is a permit contravention</w:t>
      </w:r>
    </w:p>
    <w:p>
      <w:pPr>
        <w:spacing w:after="60" w:line="264"/>
        <w:jc w:val="both"/>
      </w:pPr>
      <w:r>
        <w:rPr>
          <w:rFonts w:ascii="Calibri" w:cs="Calibri" w:eastAsia="Calibri" w:hAnsi="Calibri"/>
          <w:sz w:val="19"/>
          <w:szCs w:val="19"/>
        </w:rPr>
        <w:t xml:space="preserve">A person employed by the free zone entity working full time at the mainland office is working on the wrong permit. It is convenient and extremely common. Either second them under a documented arrangement or move the employment properly.</w:t>
      </w:r>
    </w:p>
    <w:p>
      <w:pPr>
        <w:keepNext/>
        <w:spacing w:after="40" w:before="140"/>
      </w:pPr>
      <w:r>
        <w:rPr>
          <w:rFonts w:ascii="Calibri" w:cs="Calibri" w:eastAsia="Calibri" w:hAnsi="Calibri"/>
          <w:b/>
          <w:bCs/>
          <w:color w:val="14161B"/>
          <w:sz w:val="20"/>
          <w:szCs w:val="20"/>
        </w:rPr>
        <w:t xml:space="preserve">The free zone selling to its mainland sister is the classic tax problem</w:t>
      </w:r>
    </w:p>
    <w:p>
      <w:pPr>
        <w:spacing w:after="60" w:line="264"/>
        <w:jc w:val="both"/>
      </w:pPr>
      <w:r>
        <w:rPr>
          <w:rFonts w:ascii="Calibri" w:cs="Calibri" w:eastAsia="Calibri" w:hAnsi="Calibri"/>
          <w:sz w:val="19"/>
          <w:szCs w:val="19"/>
        </w:rPr>
        <w:t xml:space="preserve">That revenue is non-qualifying and counts against a de minimis of the lower of AED 5,000,000 or 5% of total revenue. Breaching it costs the 0% rate for that period and four more. Track intra-group revenue monthly, not at year end.</w:t>
      </w:r>
    </w:p>
    <w:p>
      <w:pPr>
        <w:keepNext/>
        <w:spacing w:after="40" w:before="140"/>
      </w:pPr>
      <w:r>
        <w:rPr>
          <w:rFonts w:ascii="Calibri" w:cs="Calibri" w:eastAsia="Calibri" w:hAnsi="Calibri"/>
          <w:b/>
          <w:bCs/>
          <w:color w:val="14161B"/>
          <w:sz w:val="20"/>
          <w:szCs w:val="20"/>
        </w:rPr>
        <w:t xml:space="preserve">Transfer pricing applies to domestic dealings</w:t>
      </w:r>
    </w:p>
    <w:p>
      <w:pPr>
        <w:spacing w:after="60" w:line="264"/>
        <w:jc w:val="both"/>
      </w:pPr>
      <w:r>
        <w:rPr>
          <w:rFonts w:ascii="Calibri" w:cs="Calibri" w:eastAsia="Calibri" w:hAnsi="Calibri"/>
          <w:sz w:val="19"/>
          <w:szCs w:val="19"/>
        </w:rPr>
        <w:t xml:space="preserve">Not just cross-border. Management charges, shared services, intra-group loans, IP royalties and rent between UAE entities all need arm’s length pricing and documentation. For a free zone entity claiming 0%, compliance is a condition of the rate.</w:t>
      </w:r>
    </w:p>
    <w:p>
      <w:pPr>
        <w:keepNext/>
        <w:spacing w:after="40" w:before="140"/>
      </w:pPr>
      <w:r>
        <w:rPr>
          <w:rFonts w:ascii="Calibri" w:cs="Calibri" w:eastAsia="Calibri" w:hAnsi="Calibri"/>
          <w:b/>
          <w:bCs/>
          <w:color w:val="14161B"/>
          <w:sz w:val="20"/>
          <w:szCs w:val="20"/>
        </w:rPr>
        <w:t xml:space="preserve">The agreement must describe reality</w:t>
      </w:r>
    </w:p>
    <w:p>
      <w:pPr>
        <w:spacing w:after="60" w:line="264"/>
        <w:jc w:val="both"/>
      </w:pPr>
      <w:r>
        <w:rPr>
          <w:rFonts w:ascii="Calibri" w:cs="Calibri" w:eastAsia="Calibri" w:hAnsi="Calibri"/>
          <w:sz w:val="19"/>
          <w:szCs w:val="19"/>
        </w:rPr>
        <w:t xml:space="preserve">An intra-group services agreement covering services the parent does not actually provide, at a fee nobody analysed, is worse than no agreement — it documents the wrong thing. Write it to match what happens, then price it, then keep evidence of delivery.</w:t>
      </w:r>
    </w:p>
    <w:p>
      <w:pPr>
        <w:keepNext/>
        <w:spacing w:after="40" w:before="140"/>
      </w:pPr>
      <w:r>
        <w:rPr>
          <w:rFonts w:ascii="Calibri" w:cs="Calibri" w:eastAsia="Calibri" w:hAnsi="Calibri"/>
          <w:b/>
          <w:bCs/>
          <w:color w:val="14161B"/>
          <w:sz w:val="20"/>
          <w:szCs w:val="20"/>
        </w:rPr>
        <w:t xml:space="preserve">DIFC to mainland data movement is restricted</w:t>
      </w:r>
    </w:p>
    <w:p>
      <w:pPr>
        <w:spacing w:after="60" w:line="264"/>
        <w:jc w:val="both"/>
      </w:pPr>
      <w:r>
        <w:rPr>
          <w:rFonts w:ascii="Calibri" w:cs="Calibri" w:eastAsia="Calibri" w:hAnsi="Calibri"/>
          <w:sz w:val="19"/>
          <w:szCs w:val="19"/>
        </w:rPr>
        <w:t xml:space="preserve">The mainland is not on the DIFC adequacy list. A shared HR or finance system spanning a DIFC entity and a mainland affiliate involves restricted transfers requiring safeguards, and groups do this daily without documenting it.</w:t>
      </w:r>
    </w:p>
    <w:p>
      <w:pPr>
        <w:keepNext/>
        <w:spacing w:after="40" w:before="140"/>
      </w:pPr>
      <w:r>
        <w:rPr>
          <w:rFonts w:ascii="Calibri" w:cs="Calibri" w:eastAsia="Calibri" w:hAnsi="Calibri"/>
          <w:b/>
          <w:bCs/>
          <w:color w:val="14161B"/>
          <w:sz w:val="20"/>
          <w:szCs w:val="20"/>
        </w:rPr>
        <w:t xml:space="preserve">Each entity needs its own policy set</w:t>
      </w:r>
    </w:p>
    <w:p>
      <w:pPr>
        <w:spacing w:after="60" w:line="264"/>
        <w:jc w:val="both"/>
      </w:pPr>
      <w:r>
        <w:rPr>
          <w:rFonts w:ascii="Calibri" w:cs="Calibri" w:eastAsia="Calibri" w:hAnsi="Calibri"/>
          <w:sz w:val="19"/>
          <w:szCs w:val="19"/>
        </w:rPr>
        <w:t xml:space="preserve">Employment contracts, handbooks, data protection policies and privacy notices all differ by regime. A single group document applied across entities is wrong in at least one of them — usually the zone entity, because the mainland version was written first.</w:t>
      </w:r>
    </w:p>
    <w:p>
      <w:pPr>
        <w:keepNext/>
        <w:spacing w:after="40" w:before="140"/>
      </w:pPr>
      <w:r>
        <w:rPr>
          <w:rFonts w:ascii="Calibri" w:cs="Calibri" w:eastAsia="Calibri" w:hAnsi="Calibri"/>
          <w:b/>
          <w:bCs/>
          <w:color w:val="14161B"/>
          <w:sz w:val="20"/>
          <w:szCs w:val="20"/>
        </w:rPr>
        <w:t xml:space="preserve">Guarantees between group entities need commercial benefit</w:t>
      </w:r>
    </w:p>
    <w:p>
      <w:pPr>
        <w:spacing w:after="60" w:line="264"/>
        <w:jc w:val="both"/>
      </w:pPr>
      <w:r>
        <w:rPr>
          <w:rFonts w:ascii="Calibri" w:cs="Calibri" w:eastAsia="Calibri" w:hAnsi="Calibri"/>
          <w:sz w:val="19"/>
          <w:szCs w:val="19"/>
        </w:rPr>
        <w:t xml:space="preserve">Where one entity guarantees another, its managers must be satisfied it is in that entity’s own interests. Upstream and cross-stream guarantees are the most challenged, and the managers carry the exposure. Record the reasoning.</w:t>
      </w:r>
    </w:p>
    <w:p>
      <w:pPr>
        <w:keepNext/>
        <w:spacing w:after="40" w:before="140"/>
      </w:pPr>
      <w:r>
        <w:rPr>
          <w:rFonts w:ascii="Calibri" w:cs="Calibri" w:eastAsia="Calibri" w:hAnsi="Calibri"/>
          <w:b/>
          <w:bCs/>
          <w:color w:val="14161B"/>
          <w:sz w:val="20"/>
          <w:szCs w:val="20"/>
        </w:rPr>
        <w:t xml:space="preserve">Register every entity for corporate tax</w:t>
      </w:r>
    </w:p>
    <w:p>
      <w:pPr>
        <w:spacing w:after="60" w:line="264"/>
        <w:jc w:val="both"/>
      </w:pPr>
      <w:r>
        <w:rPr>
          <w:rFonts w:ascii="Calibri" w:cs="Calibri" w:eastAsia="Calibri" w:hAnsi="Calibri"/>
          <w:sz w:val="19"/>
          <w:szCs w:val="19"/>
        </w:rPr>
        <w:t xml:space="preserve">Registration is per taxable person, including dormant entities and those expecting no liability. Groups register the trading company and overlook the holdco or the dormant subsidiary, which accrues penalties silently.</w:t>
      </w:r>
    </w:p>
    <w:p>
      <w:pPr>
        <w:keepNext/>
        <w:spacing w:after="40" w:before="140"/>
      </w:pPr>
      <w:r>
        <w:rPr>
          <w:rFonts w:ascii="Calibri" w:cs="Calibri" w:eastAsia="Calibri" w:hAnsi="Calibri"/>
          <w:b/>
          <w:bCs/>
          <w:color w:val="14161B"/>
          <w:sz w:val="20"/>
          <w:szCs w:val="20"/>
        </w:rPr>
        <w:t xml:space="preserve">Dormant entities are not free</w:t>
      </w:r>
    </w:p>
    <w:p>
      <w:pPr>
        <w:spacing w:after="60" w:line="264"/>
        <w:jc w:val="both"/>
      </w:pPr>
      <w:r>
        <w:rPr>
          <w:rFonts w:ascii="Calibri" w:cs="Calibri" w:eastAsia="Calibri" w:hAnsi="Calibri"/>
          <w:sz w:val="19"/>
          <w:szCs w:val="19"/>
        </w:rPr>
        <w:t xml:space="preserve">A company that has stopped trading still renews its licence, files tax returns, maintains its UBO register and keeps records. Either keep it properly or close it properly — letting it lapse is the most expensive option.</w:t>
      </w:r>
    </w:p>
    <w:p>
      <w:pPr>
        <w:keepNext/>
        <w:spacing w:after="40" w:before="140"/>
      </w:pPr>
      <w:r>
        <w:rPr>
          <w:rFonts w:ascii="Calibri" w:cs="Calibri" w:eastAsia="Calibri" w:hAnsi="Calibri"/>
          <w:b/>
          <w:bCs/>
          <w:color w:val="14161B"/>
          <w:sz w:val="20"/>
          <w:szCs w:val="20"/>
        </w:rPr>
        <w:t xml:space="preserve">Consider redomiciliation before restructuring</w:t>
      </w:r>
    </w:p>
    <w:p>
      <w:pPr>
        <w:spacing w:after="60" w:line="264"/>
        <w:jc w:val="both"/>
      </w:pPr>
      <w:r>
        <w:rPr>
          <w:rFonts w:ascii="Calibri" w:cs="Calibri" w:eastAsia="Calibri" w:hAnsi="Calibri"/>
          <w:sz w:val="19"/>
          <w:szCs w:val="19"/>
        </w:rPr>
        <w:t xml:space="preserve">Transfer of registration between competent authorities, including between mainland and free zones, is now available. Where an entity is in the wrong jurisdiction, that may preserve trading history and banking relationships that closing and reincorporating would destroy.</w:t>
      </w:r>
    </w:p>
    <w:p>
      <w:pPr>
        <w:keepNext/>
        <w:spacing w:after="40" w:before="140"/>
      </w:pPr>
      <w:r>
        <w:rPr>
          <w:rFonts w:ascii="Calibri" w:cs="Calibri" w:eastAsia="Calibri" w:hAnsi="Calibri"/>
          <w:b/>
          <w:bCs/>
          <w:color w:val="14161B"/>
          <w:sz w:val="20"/>
          <w:szCs w:val="20"/>
        </w:rPr>
        <w:t xml:space="preserve">Look through to natural persons for UBO</w:t>
      </w:r>
    </w:p>
    <w:p>
      <w:pPr>
        <w:spacing w:after="60" w:line="264"/>
        <w:jc w:val="both"/>
      </w:pPr>
      <w:r>
        <w:rPr>
          <w:rFonts w:ascii="Calibri" w:cs="Calibri" w:eastAsia="Calibri" w:hAnsi="Calibri"/>
          <w:sz w:val="19"/>
          <w:szCs w:val="19"/>
        </w:rPr>
        <w:t xml:space="preserve">Beneficial ownership must be traced through the whole chain to individuals, for every entity. Groups file the immediate parent and consider it done. The register is then simply wrong, and it is checked in banking and diligence.</w:t>
      </w:r>
    </w:p>
    <w:p>
      <w:pPr>
        <w:keepNext/>
        <w:spacing w:after="40" w:before="140"/>
      </w:pPr>
      <w:r>
        <w:rPr>
          <w:rFonts w:ascii="Calibri" w:cs="Calibri" w:eastAsia="Calibri" w:hAnsi="Calibri"/>
          <w:b/>
          <w:bCs/>
          <w:color w:val="14161B"/>
          <w:sz w:val="20"/>
          <w:szCs w:val="20"/>
        </w:rPr>
        <w:t xml:space="preserve">Name an owner for each entity</w:t>
      </w:r>
    </w:p>
    <w:p>
      <w:pPr>
        <w:spacing w:after="60" w:line="264"/>
        <w:jc w:val="both"/>
      </w:pPr>
      <w:r>
        <w:rPr>
          <w:rFonts w:ascii="Calibri" w:cs="Calibri" w:eastAsia="Calibri" w:hAnsi="Calibri"/>
          <w:sz w:val="19"/>
          <w:szCs w:val="19"/>
        </w:rPr>
        <w:t xml:space="preserve">Entities without a named person responsible for their filings drift — licences lapse, returns are missed, registers go stale. The discovery usually comes from a bank review or a buyer rather than from inside the group.</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Corporate tax including QFZP conditions and tax grouping, transfer pricing requirements, data protection regimes and adequacy positions, employment rules and redomiciliation provisions all change — take UAE legal and tax advice on any group structure before implementing or restructuring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2026-08-23T16:28:32.301Z</dcterms:created>
  <dcterms:modified xsi:type="dcterms:W3CDTF">2026-08-23T16:28:32.301Z</dcterms:modified>
</cp:coreProperties>
</file>

<file path=docProps/custom.xml><?xml version="1.0" encoding="utf-8"?>
<Properties xmlns="http://schemas.openxmlformats.org/officeDocument/2006/custom-properties" xmlns:vt="http://schemas.openxmlformats.org/officeDocument/2006/docPropsVTypes"/>
</file>