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GOVERNANCE</w:t>
      </w:r>
    </w:p>
    <w:p>
      <w:pPr>
        <w:spacing w:after="260"/>
        <w:jc w:val="center"/>
      </w:pPr>
      <w:r>
        <w:rPr>
          <w:rFonts w:ascii="Calibri" w:cs="Calibri" w:eastAsia="Calibri" w:hAnsi="Calibri"/>
          <w:i/>
          <w:iCs/>
          <w:color w:val="6E7480"/>
          <w:sz w:val="19"/>
          <w:szCs w:val="19"/>
        </w:rPr>
        <w:t xml:space="preserve">Managers, directors, duties and delegated authority</w:t>
      </w:r>
    </w:p>
    <w:p>
      <w:pPr>
        <w:spacing w:after="180" w:before="0" w:line="276"/>
        <w:jc w:val="both"/>
      </w:pPr>
      <w:r>
        <w:rPr>
          <w:rFonts w:ascii="Calibri" w:cs="Calibri" w:eastAsia="Calibri" w:hAnsi="Calibri"/>
          <w:i/>
          <w:iCs/>
          <w:color w:val="6E7480"/>
          <w:sz w:val="21"/>
          <w:szCs w:val="21"/>
        </w:rPr>
        <w:t xml:space="preserve">A mainland LLC is run by </w:t>
      </w:r>
      <w:r>
        <w:rPr>
          <w:rFonts w:ascii="Calibri" w:cs="Calibri" w:eastAsia="Calibri" w:hAnsi="Calibri"/>
          <w:b/>
          <w:bCs/>
          <w:i/>
          <w:iCs/>
          <w:color w:val="6E7480"/>
          <w:sz w:val="21"/>
          <w:szCs w:val="21"/>
        </w:rPr>
        <w:t xml:space="preserve">managers</w:t>
      </w:r>
      <w:r>
        <w:rPr>
          <w:rFonts w:ascii="Calibri" w:cs="Calibri" w:eastAsia="Calibri" w:hAnsi="Calibri"/>
          <w:i/>
          <w:iCs/>
          <w:color w:val="6E7480"/>
          <w:sz w:val="21"/>
          <w:szCs w:val="21"/>
        </w:rPr>
        <w:t xml:space="preserve"> whose authority comes from the Memorandum of Association and the trade licence — not by a board of directors with the powers a common-law director has. And a third party dealing in good faith may rely on </w:t>
      </w:r>
      <w:r>
        <w:rPr>
          <w:rFonts w:ascii="Calibri" w:cs="Calibri" w:eastAsia="Calibri" w:hAnsi="Calibri"/>
          <w:b/>
          <w:bCs/>
          <w:i/>
          <w:iCs/>
          <w:color w:val="6E7480"/>
          <w:sz w:val="21"/>
          <w:szCs w:val="21"/>
        </w:rPr>
        <w:t xml:space="preserve">apparent authority</w:t>
      </w:r>
      <w:r>
        <w:rPr>
          <w:rFonts w:ascii="Calibri" w:cs="Calibri" w:eastAsia="Calibri" w:hAnsi="Calibri"/>
          <w:i/>
          <w:iCs/>
          <w:color w:val="6E7480"/>
          <w:sz w:val="21"/>
          <w:szCs w:val="21"/>
        </w:rPr>
        <w:t xml:space="preserve">, so internal limits that are not in the constitutional document may not bind them.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Entity type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LLC / Free zone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body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[Manager(s) / Board of Directors]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Named on the licence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Constitutional powers set out in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[MOA / Articles]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Delegated authority matrix</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[Adopted on ______]</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Meeting frequency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[Quarterly]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Minute book held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Insurance — directors and officers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[INSURER]</w:t>
            </w:r>
            <w:r>
              <w:rPr>
                <w:rFonts w:ascii="Calibri" w:cs="Calibri" w:eastAsia="Calibri" w:hAnsi="Calibri"/>
                <w:sz w:val="19"/>
                <w:szCs w:val="19"/>
              </w:rPr>
              <w:t xml:space="preserve">, expiry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WHO ACTUALLY RUNS THE COMPANY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2891"/>
        <w:gridCol w:w="2313"/>
        <w:gridCol w:w="2507"/>
      </w:tblGrid>
      <w:tr>
        <w:trPr>
          <w:cantSplit/>
          <w:tblHeader/>
        </w:trPr>
        <w:tc>
          <w:tcPr>
            <w:tcW w:type="dxa" w:w="1927"/>
            <w:shd w:fill="EEF1FE" w:color="auto" w:val="clear"/>
            <w:tcMar>
              <w:top w:type="dxa" w:w="70"/>
              <w:left w:type="dxa" w:w="100"/>
              <w:bottom w:type="dxa" w:w="70"/>
              <w:right w:type="dxa" w:w="100"/>
            </w:tcMar>
            <w:vAlign w:val="center"/>
          </w:tcPr>
          <w:p>
            <w:pPr>
              <w:spacing w:after="0" w:line="240"/>
              <w:jc w:val="left"/>
            </w:pP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Mainland LLC</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Free zone</w:t>
            </w:r>
          </w:p>
        </w:tc>
        <w:tc>
          <w:tcPr>
            <w:tcW w:type="dxa" w:w="25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DIFC / ADGM</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Governing body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 or director — per the zone]</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Board of Directors</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Source of authority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MOA and trade licence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Zone articles</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Articles and common law</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Named publicly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On the licence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the licence</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the register</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Change requires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Notarisation and licence amendment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Zone process</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Board resolution and register update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Duties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Statutory and under the MOA</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zone</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Common law and statutory duties</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Personal exposure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Real — see Section 3</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Real</w:t>
            </w:r>
          </w:p>
        </w:tc>
        <w:tc>
          <w:tcPr>
            <w:tcW w:type="dxa" w:w="250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Real</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Documents drafted on a board model can sit oddly against a mainland LLC. Match the language to the entity — resolutions referring to "the Board" where the constitution knows only managers create ambiguity about who decided what.</w:t>
      </w:r>
    </w:p>
    <w:p>
      <w:pPr>
        <w:keepNext/>
        <w:spacing w:after="120" w:before="280"/>
        <w:outlineLvl w:val="0"/>
      </w:pPr>
      <w:r>
        <w:rPr>
          <w:rFonts w:ascii="Calibri" w:cs="Calibri" w:eastAsia="Calibri" w:hAnsi="Calibri"/>
          <w:b/>
          <w:bCs/>
          <w:color w:val="14161B"/>
          <w:sz w:val="22"/>
          <w:szCs w:val="22"/>
        </w:rPr>
        <w:t xml:space="preserve">2. AUTHORITY AND ITS LIMITS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manager’s or board’s authority derives from the constitutional document. Anything not conferred there is not conferred.</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A third party dealing in good faith may rely on apparent authority.</w:t>
      </w:r>
      <w:r>
        <w:rPr>
          <w:rFonts w:ascii="Calibri" w:cs="Calibri" w:eastAsia="Calibri" w:hAnsi="Calibri"/>
          <w:sz w:val="21"/>
          <w:szCs w:val="21"/>
        </w:rPr>
        <w:t xml:space="preserve"> An internal limit that does not appear in the constitutional document or the licence may not bind that third party, even where the manager exceeded it.</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Where a limit genuinely matters, put it in the constitutional document, not only in an internal policy.</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A </w:t>
      </w:r>
      <w:r>
        <w:rPr>
          <w:rFonts w:ascii="Calibri" w:cs="Calibri" w:eastAsia="Calibri" w:hAnsi="Calibri"/>
          <w:b/>
          <w:bCs/>
          <w:sz w:val="21"/>
          <w:szCs w:val="21"/>
        </w:rPr>
        <w:t xml:space="preserve">delegated authority matrix</w:t>
      </w:r>
      <w:r>
        <w:rPr>
          <w:rFonts w:ascii="Calibri" w:cs="Calibri" w:eastAsia="Calibri" w:hAnsi="Calibri"/>
          <w:sz w:val="21"/>
          <w:szCs w:val="21"/>
        </w:rPr>
        <w:t xml:space="preserve"> governs internally who may commit the company to what.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047"/>
        <w:gridCol w:w="2891"/>
        <w:gridCol w:w="2700"/>
      </w:tblGrid>
      <w:tr>
        <w:trPr>
          <w:cantSplit/>
          <w:tblHeader/>
        </w:trPr>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Decision</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Authority</w:t>
            </w:r>
          </w:p>
        </w:tc>
        <w:tc>
          <w:tcPr>
            <w:tcW w:type="dxa" w:w="27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Limit</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Operating expenditure within budget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[Department head]</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 to </w:t>
            </w:r>
            <w:r>
              <w:rPr>
                <w:rFonts w:ascii="Calibri" w:cs="Calibri" w:eastAsia="Calibri" w:hAnsi="Calibri"/>
                <w:b/>
                <w:bCs/>
                <w:sz w:val="17"/>
                <w:szCs w:val="17"/>
              </w:rPr>
              <w:t xml:space="preserve">[AED ______]</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Operating expenditure outside budget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 / CEO]</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 to </w:t>
            </w:r>
            <w:r>
              <w:rPr>
                <w:rFonts w:ascii="Calibri" w:cs="Calibri" w:eastAsia="Calibri" w:hAnsi="Calibri"/>
                <w:b/>
                <w:bCs/>
                <w:sz w:val="17"/>
                <w:szCs w:val="17"/>
              </w:rPr>
              <w:t xml:space="preserve">[AED ______]</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Capital expenditure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 to </w:t>
            </w:r>
            <w:r>
              <w:rPr>
                <w:rFonts w:ascii="Calibri" w:cs="Calibri" w:eastAsia="Calibri" w:hAnsi="Calibri"/>
                <w:b/>
                <w:bCs/>
                <w:sz w:val="17"/>
                <w:szCs w:val="17"/>
              </w:rPr>
              <w:t xml:space="preserve">[AED ______]</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Customer contracts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 to </w:t>
            </w:r>
            <w:r>
              <w:rPr>
                <w:rFonts w:ascii="Calibri" w:cs="Calibri" w:eastAsia="Calibri" w:hAnsi="Calibri"/>
                <w:b/>
                <w:bCs/>
                <w:sz w:val="17"/>
                <w:szCs w:val="17"/>
              </w:rPr>
              <w:t xml:space="preserve">[AED ______]</w:t>
            </w:r>
            <w:r>
              <w:rPr>
                <w:rFonts w:ascii="Calibri" w:cs="Calibri" w:eastAsia="Calibri" w:hAnsi="Calibri"/>
                <w:sz w:val="17"/>
                <w:szCs w:val="17"/>
              </w:rPr>
              <w:t xml:space="preserve">; above, </w:t>
            </w:r>
            <w:r>
              <w:rPr>
                <w:rFonts w:ascii="Calibri" w:cs="Calibri" w:eastAsia="Calibri" w:hAnsi="Calibri"/>
                <w:b/>
                <w:bCs/>
                <w:sz w:val="17"/>
                <w:szCs w:val="17"/>
              </w:rPr>
              <w:t xml:space="preserve">[shareholders]</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Supplier contracts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 to </w:t>
            </w:r>
            <w:r>
              <w:rPr>
                <w:rFonts w:ascii="Calibri" w:cs="Calibri" w:eastAsia="Calibri" w:hAnsi="Calibri"/>
                <w:b/>
                <w:bCs/>
                <w:sz w:val="17"/>
                <w:szCs w:val="17"/>
              </w:rPr>
              <w:t xml:space="preserve">[AED ______]</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Borrowing or granting security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[Shareholders]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amount</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Hiring or dismissing senior staff</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[Above ______ salary, shareholders]</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Related party transactions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[Shareholders, interested party abstaining]</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amount</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mandate changes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[Shareholders]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Granting a power of attorney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[Shareholders]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Notarised</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Litigation and settlement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[Manager]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 to </w:t>
            </w:r>
            <w:r>
              <w:rPr>
                <w:rFonts w:ascii="Calibri" w:cs="Calibri" w:eastAsia="Calibri" w:hAnsi="Calibri"/>
                <w:b/>
                <w:bCs/>
                <w:sz w:val="17"/>
                <w:szCs w:val="17"/>
              </w:rPr>
              <w:t xml:space="preserve">[AED ______]</w:t>
            </w:r>
          </w:p>
        </w:tc>
      </w:tr>
      <w:tr>
        <w:trPr>
          <w:cantSplit/>
        </w:trPr>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Anything requiring a constitutional change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[Shareholders]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Notarised and approved</w:t>
            </w:r>
          </w:p>
        </w:tc>
      </w:tr>
    </w:tbl>
    <w:p>
      <w:pPr>
        <w:keepNext/>
        <w:spacing w:after="120" w:before="280"/>
        <w:outlineLvl w:val="0"/>
      </w:pPr>
      <w:r>
        <w:rPr>
          <w:rFonts w:ascii="Calibri" w:cs="Calibri" w:eastAsia="Calibri" w:hAnsi="Calibri"/>
          <w:b/>
          <w:bCs/>
          <w:color w:val="14161B"/>
          <w:sz w:val="22"/>
          <w:szCs w:val="22"/>
        </w:rPr>
        <w:t xml:space="preserve">3. DUTIES AND EXPOSURE</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Managers and directors owe duties to the company, including to act within their powers, in the company’s interests, with the care and diligence expected, and to avoid or disclose conflicts.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Exposure</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 it arises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Trading while unable to pay debts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Continuing to incur liabilities without reasonable grounds to believe they can be met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Preferring some creditors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Paying connected parties ahead of others when insolvency is near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Regulatory penalties attributed to the manager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entity defaults on filings or obligations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Employment failures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Wage non-payment, permit contraventions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and filing defaults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Registration, returns and payment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Cheques signed on the company’s behalf</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Consider the position carefully — see the notes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 of duty causing loss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Claim by the company or shareholders</w:t>
            </w:r>
          </w:p>
        </w:tc>
      </w:tr>
    </w:tbl>
    <w:p>
      <w:pPr>
        <w:spacing w:after="140"/>
      </w:pP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Where the company may be unable to pay its debts, take advice immediately.</w:t>
      </w:r>
      <w:r>
        <w:rPr>
          <w:rFonts w:ascii="Calibri" w:cs="Calibri" w:eastAsia="Calibri" w:hAnsi="Calibri"/>
          <w:sz w:val="21"/>
          <w:szCs w:val="21"/>
        </w:rPr>
        <w:t xml:space="preserve"> Duties change at that point, and continuing as before is where personal exposure crystallises.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Maintain directors’ and officers’ liability insurance, and check that it covers the individuals actually named on the licence.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MEETINGS AND RECORDS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501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Practice</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Meet at least </w:t>
            </w:r>
            <w:r>
              <w:rPr>
                <w:rFonts w:ascii="Calibri" w:cs="Calibri" w:eastAsia="Calibri" w:hAnsi="Calibri"/>
                <w:b/>
                <w:bCs/>
                <w:sz w:val="17"/>
                <w:szCs w:val="17"/>
              </w:rPr>
              <w:t xml:space="preserve">[quarterly]</w:t>
            </w:r>
            <w:r>
              <w:rPr>
                <w:rFonts w:ascii="Calibri" w:cs="Calibri" w:eastAsia="Calibri" w:hAnsi="Calibri"/>
                <w:sz w:val="17"/>
                <w:szCs w:val="17"/>
              </w:rPr>
              <w:t xml:space="preserve"> with papers circulated in advance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Decisions taken on information, not in the corridor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Hold meetings in the UAE where substance matters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Direction and management, QFZP substance, tax residence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attendance, including who was physically present</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Substance evidence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Minute the decision </w:t>
            </w:r>
            <w:r>
              <w:rPr>
                <w:rFonts w:ascii="Calibri" w:cs="Calibri" w:eastAsia="Calibri" w:hAnsi="Calibri"/>
                <w:b/>
                <w:bCs/>
                <w:sz w:val="17"/>
                <w:szCs w:val="17"/>
              </w:rPr>
              <w:t xml:space="preserve">and the reasoning</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reasoning is what defends the decision later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Record conflicts before the decision</w:t>
            </w:r>
            <w:r>
              <w:rPr>
                <w:rFonts w:ascii="Calibri" w:cs="Calibri" w:eastAsia="Calibri" w:hAnsi="Calibri"/>
                <w:sz w:val="17"/>
                <w:szCs w:val="17"/>
              </w:rPr>
              <w:t xml:space="preserve">, with the interested party abstaining</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Related party transactions attract scrutiny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Number resolutions and keep them in sequence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Gaps are the first thing a reviewer notices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Keep notarised originals with the minute book</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Scans are not the instrument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authority approvals alongside the resolution</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resolution alone proves nothing took effect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the delegated authority matrix annually</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Limits set at incorporation date badly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 permanently</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Requested at every financing, sale and bank review</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Point 2 is doing double duty. Meetings held in the UAE with directors physically present support economic substance, corporate tax residence and a QFZP claim simultaneously. Meetings held by video from overseas support none of them.</w:t>
      </w:r>
    </w:p>
    <w:p>
      <w:pPr>
        <w:keepNext/>
        <w:spacing w:after="120" w:before="280"/>
        <w:outlineLvl w:val="0"/>
      </w:pPr>
      <w:r>
        <w:rPr>
          <w:rFonts w:ascii="Calibri" w:cs="Calibri" w:eastAsia="Calibri" w:hAnsi="Calibri"/>
          <w:b/>
          <w:bCs/>
          <w:color w:val="14161B"/>
          <w:sz w:val="22"/>
          <w:szCs w:val="22"/>
        </w:rPr>
        <w:t xml:space="preserve">5. ANNUAL GOVERNANCE CYCLE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819"/>
        <w:gridCol w:w="2698"/>
        <w:gridCol w:w="1736"/>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Task</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When</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Approve the annual budget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year starts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financial statements and approve them</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year end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audit position where required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year end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the delegated authority matrix</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conflicts and related party transactions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 the UBO register is current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 and on change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licence, card and tenancy renewals are in hand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Six months before expiry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corporate tax and VAT compliance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Emiratisation position where applicable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Quarterly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insurance including D&amp;O</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data protection position and any breaches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powers of attorney granted and revoked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bank mandates reflect current personnel</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 and on any departure</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6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[Manager / Director]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[Manager / Director]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Managers are not directors</w:t>
      </w:r>
    </w:p>
    <w:p>
      <w:pPr>
        <w:spacing w:after="60" w:line="264"/>
        <w:jc w:val="both"/>
      </w:pPr>
      <w:r>
        <w:rPr>
          <w:rFonts w:ascii="Calibri" w:cs="Calibri" w:eastAsia="Calibri" w:hAnsi="Calibri"/>
          <w:sz w:val="19"/>
          <w:szCs w:val="19"/>
        </w:rPr>
        <w:t xml:space="preserve">A mainland LLC is run by managers whose authority flows from the Memorandum of Association and the trade licence, not by a board with common-law director powers. Resolutions and policies drafted on a board model create ambiguity about who actually decided. Match the language to the entity.</w:t>
      </w:r>
    </w:p>
    <w:p>
      <w:pPr>
        <w:keepNext/>
        <w:spacing w:after="40" w:before="140"/>
      </w:pPr>
      <w:r>
        <w:rPr>
          <w:rFonts w:ascii="Calibri" w:cs="Calibri" w:eastAsia="Calibri" w:hAnsi="Calibri"/>
          <w:b/>
          <w:bCs/>
          <w:color w:val="14161B"/>
          <w:sz w:val="20"/>
          <w:szCs w:val="20"/>
        </w:rPr>
        <w:t xml:space="preserve">Internal limits may not bind third parties</w:t>
      </w:r>
    </w:p>
    <w:p>
      <w:pPr>
        <w:spacing w:after="60" w:line="264"/>
        <w:jc w:val="both"/>
      </w:pPr>
      <w:r>
        <w:rPr>
          <w:rFonts w:ascii="Calibri" w:cs="Calibri" w:eastAsia="Calibri" w:hAnsi="Calibri"/>
          <w:sz w:val="19"/>
          <w:szCs w:val="19"/>
        </w:rPr>
        <w:t xml:space="preserve">A third party dealing in good faith may rely on the manager’s apparent authority. A limit recorded only in an internal policy, and not in the constitutional document or the licence, may not protect the company against a commitment made beyond it. Where a limit genuinely matters, put it in the constitution.</w:t>
      </w:r>
    </w:p>
    <w:p>
      <w:pPr>
        <w:keepNext/>
        <w:spacing w:after="40" w:before="140"/>
      </w:pPr>
      <w:r>
        <w:rPr>
          <w:rFonts w:ascii="Calibri" w:cs="Calibri" w:eastAsia="Calibri" w:hAnsi="Calibri"/>
          <w:b/>
          <w:bCs/>
          <w:color w:val="14161B"/>
          <w:sz w:val="20"/>
          <w:szCs w:val="20"/>
        </w:rPr>
        <w:t xml:space="preserve">Hold meetings in the UAE with people present</w:t>
      </w:r>
    </w:p>
    <w:p>
      <w:pPr>
        <w:spacing w:after="60" w:line="264"/>
        <w:jc w:val="both"/>
      </w:pPr>
      <w:r>
        <w:rPr>
          <w:rFonts w:ascii="Calibri" w:cs="Calibri" w:eastAsia="Calibri" w:hAnsi="Calibri"/>
          <w:sz w:val="19"/>
          <w:szCs w:val="19"/>
        </w:rPr>
        <w:t xml:space="preserve">Meetings held here with directors physically present support economic substance evidence, corporate tax residence and a QFZP claim at the same time. Meetings held by video from overseas support none of them, and this is the single most common substance failure.</w:t>
      </w:r>
    </w:p>
    <w:p>
      <w:pPr>
        <w:keepNext/>
        <w:spacing w:after="40" w:before="140"/>
      </w:pPr>
      <w:r>
        <w:rPr>
          <w:rFonts w:ascii="Calibri" w:cs="Calibri" w:eastAsia="Calibri" w:hAnsi="Calibri"/>
          <w:b/>
          <w:bCs/>
          <w:color w:val="14161B"/>
          <w:sz w:val="20"/>
          <w:szCs w:val="20"/>
        </w:rPr>
        <w:t xml:space="preserve">Minute the reasoning, not just the decision</w:t>
      </w:r>
    </w:p>
    <w:p>
      <w:pPr>
        <w:spacing w:after="60" w:line="264"/>
        <w:jc w:val="both"/>
      </w:pPr>
      <w:r>
        <w:rPr>
          <w:rFonts w:ascii="Calibri" w:cs="Calibri" w:eastAsia="Calibri" w:hAnsi="Calibri"/>
          <w:sz w:val="19"/>
          <w:szCs w:val="19"/>
        </w:rPr>
        <w:t xml:space="preserve">A minute recording that a decision was taken proves attendance. A minute recording why it was taken — what was considered, what the alternatives were — is what defends it if it is later questioned by a shareholder, an auditor or a regulator.</w:t>
      </w:r>
    </w:p>
    <w:p>
      <w:pPr>
        <w:keepNext/>
        <w:spacing w:after="40" w:before="140"/>
      </w:pPr>
      <w:r>
        <w:rPr>
          <w:rFonts w:ascii="Calibri" w:cs="Calibri" w:eastAsia="Calibri" w:hAnsi="Calibri"/>
          <w:b/>
          <w:bCs/>
          <w:color w:val="14161B"/>
          <w:sz w:val="20"/>
          <w:szCs w:val="20"/>
        </w:rPr>
        <w:t xml:space="preserve">Record conflicts before the decision</w:t>
      </w:r>
    </w:p>
    <w:p>
      <w:pPr>
        <w:spacing w:after="60" w:line="264"/>
        <w:jc w:val="both"/>
      </w:pPr>
      <w:r>
        <w:rPr>
          <w:rFonts w:ascii="Calibri" w:cs="Calibri" w:eastAsia="Calibri" w:hAnsi="Calibri"/>
          <w:sz w:val="19"/>
          <w:szCs w:val="19"/>
        </w:rPr>
        <w:t xml:space="preserve">Related party transactions attract scrutiny in diligence, in audit and under transfer pricing. A declaration recorded before the decision, with the interested party abstaining, converts a suspicious-looking transaction into a documented one.</w:t>
      </w:r>
    </w:p>
    <w:p>
      <w:pPr>
        <w:keepNext/>
        <w:spacing w:after="40" w:before="140"/>
      </w:pPr>
      <w:r>
        <w:rPr>
          <w:rFonts w:ascii="Calibri" w:cs="Calibri" w:eastAsia="Calibri" w:hAnsi="Calibri"/>
          <w:b/>
          <w:bCs/>
          <w:color w:val="14161B"/>
          <w:sz w:val="20"/>
          <w:szCs w:val="20"/>
        </w:rPr>
        <w:t xml:space="preserve">Take advice the moment solvency is in doubt</w:t>
      </w:r>
    </w:p>
    <w:p>
      <w:pPr>
        <w:spacing w:after="60" w:line="264"/>
        <w:jc w:val="both"/>
      </w:pPr>
      <w:r>
        <w:rPr>
          <w:rFonts w:ascii="Calibri" w:cs="Calibri" w:eastAsia="Calibri" w:hAnsi="Calibri"/>
          <w:sz w:val="19"/>
          <w:szCs w:val="19"/>
        </w:rPr>
        <w:t xml:space="preserve">Duties change where the company may be unable to pay its debts. Continuing to trade as before, or paying connected creditors ahead of others, is where personal exposure crystallises. This is the point at which advice is cheapest and most valuable.</w:t>
      </w:r>
    </w:p>
    <w:p>
      <w:pPr>
        <w:keepNext/>
        <w:spacing w:after="40" w:before="140"/>
      </w:pPr>
      <w:r>
        <w:rPr>
          <w:rFonts w:ascii="Calibri" w:cs="Calibri" w:eastAsia="Calibri" w:hAnsi="Calibri"/>
          <w:b/>
          <w:bCs/>
          <w:color w:val="14161B"/>
          <w:sz w:val="20"/>
          <w:szCs w:val="20"/>
        </w:rPr>
        <w:t xml:space="preserve">Managers carry real regulatory exposure</w:t>
      </w:r>
    </w:p>
    <w:p>
      <w:pPr>
        <w:spacing w:after="60" w:line="264"/>
        <w:jc w:val="both"/>
      </w:pPr>
      <w:r>
        <w:rPr>
          <w:rFonts w:ascii="Calibri" w:cs="Calibri" w:eastAsia="Calibri" w:hAnsi="Calibri"/>
          <w:sz w:val="19"/>
          <w:szCs w:val="19"/>
        </w:rPr>
        <w:t xml:space="preserve">Penalties for the entity’s defaults — filings, wage payment, permit contraventions — can attach to the individuals responsible. Anyone named on a licence should understand what they are exposed to before accepting the role.</w:t>
      </w:r>
    </w:p>
    <w:p>
      <w:pPr>
        <w:keepNext/>
        <w:spacing w:after="40" w:before="140"/>
      </w:pPr>
      <w:r>
        <w:rPr>
          <w:rFonts w:ascii="Calibri" w:cs="Calibri" w:eastAsia="Calibri" w:hAnsi="Calibri"/>
          <w:b/>
          <w:bCs/>
          <w:color w:val="14161B"/>
          <w:sz w:val="20"/>
          <w:szCs w:val="20"/>
        </w:rPr>
        <w:t xml:space="preserve">Think carefully about signing cheques</w:t>
      </w:r>
    </w:p>
    <w:p>
      <w:pPr>
        <w:spacing w:after="60" w:line="264"/>
        <w:jc w:val="both"/>
      </w:pPr>
      <w:r>
        <w:rPr>
          <w:rFonts w:ascii="Calibri" w:cs="Calibri" w:eastAsia="Calibri" w:hAnsi="Calibri"/>
          <w:sz w:val="19"/>
          <w:szCs w:val="19"/>
        </w:rPr>
        <w:t xml:space="preserve">Cheques signed on the company’s behalf carry consequences that changed materially with the 2022 reforms, and the position for a signatory acting for a company warrants specific advice. Do not treat cheque signing as a routine administrative act.</w:t>
      </w:r>
    </w:p>
    <w:p>
      <w:pPr>
        <w:keepNext/>
        <w:spacing w:after="40" w:before="140"/>
      </w:pPr>
      <w:r>
        <w:rPr>
          <w:rFonts w:ascii="Calibri" w:cs="Calibri" w:eastAsia="Calibri" w:hAnsi="Calibri"/>
          <w:b/>
          <w:bCs/>
          <w:color w:val="14161B"/>
          <w:sz w:val="20"/>
          <w:szCs w:val="20"/>
        </w:rPr>
        <w:t xml:space="preserve">Check D&amp;O cover names the right people</w:t>
      </w:r>
    </w:p>
    <w:p>
      <w:pPr>
        <w:spacing w:after="60" w:line="264"/>
        <w:jc w:val="both"/>
      </w:pPr>
      <w:r>
        <w:rPr>
          <w:rFonts w:ascii="Calibri" w:cs="Calibri" w:eastAsia="Calibri" w:hAnsi="Calibri"/>
          <w:sz w:val="19"/>
          <w:szCs w:val="19"/>
        </w:rPr>
        <w:t xml:space="preserve">Directors’ and officers’ insurance should cover the individuals actually named on the licence and performing the role, including anyone appointed mid-year. Policies frequently lag behind changes in management.</w:t>
      </w:r>
    </w:p>
    <w:p>
      <w:pPr>
        <w:keepNext/>
        <w:spacing w:after="40" w:before="140"/>
      </w:pPr>
      <w:r>
        <w:rPr>
          <w:rFonts w:ascii="Calibri" w:cs="Calibri" w:eastAsia="Calibri" w:hAnsi="Calibri"/>
          <w:b/>
          <w:bCs/>
          <w:color w:val="14161B"/>
          <w:sz w:val="20"/>
          <w:szCs w:val="20"/>
        </w:rPr>
        <w:t xml:space="preserve">Review the authority matrix annually</w:t>
      </w:r>
    </w:p>
    <w:p>
      <w:pPr>
        <w:spacing w:after="60" w:line="264"/>
        <w:jc w:val="both"/>
      </w:pPr>
      <w:r>
        <w:rPr>
          <w:rFonts w:ascii="Calibri" w:cs="Calibri" w:eastAsia="Calibri" w:hAnsi="Calibri"/>
          <w:sz w:val="19"/>
          <w:szCs w:val="19"/>
        </w:rPr>
        <w:t xml:space="preserve">Limits set at incorporation reflect a much smaller business. A matrix that requires shareholder approval for routine expenditure gets ignored, and one with limits far too high provides no control at all. Both failures are common.</w:t>
      </w:r>
    </w:p>
    <w:p>
      <w:pPr>
        <w:keepNext/>
        <w:spacing w:after="40" w:before="140"/>
      </w:pPr>
      <w:r>
        <w:rPr>
          <w:rFonts w:ascii="Calibri" w:cs="Calibri" w:eastAsia="Calibri" w:hAnsi="Calibri"/>
          <w:b/>
          <w:bCs/>
          <w:color w:val="14161B"/>
          <w:sz w:val="20"/>
          <w:szCs w:val="20"/>
        </w:rPr>
        <w:t xml:space="preserve">File the approval with the resolution</w:t>
      </w:r>
    </w:p>
    <w:p>
      <w:pPr>
        <w:spacing w:after="60" w:line="264"/>
        <w:jc w:val="both"/>
      </w:pPr>
      <w:r>
        <w:rPr>
          <w:rFonts w:ascii="Calibri" w:cs="Calibri" w:eastAsia="Calibri" w:hAnsi="Calibri"/>
          <w:sz w:val="19"/>
          <w:szCs w:val="19"/>
        </w:rPr>
        <w:t xml:space="preserve">A resolution without the corresponding authority approval proves a decision was made, not that it took effect. Constitutional changes on the mainland require notarisation and approval, and both belong in the file together.</w:t>
      </w:r>
    </w:p>
    <w:p>
      <w:pPr>
        <w:keepNext/>
        <w:spacing w:after="40" w:before="140"/>
      </w:pPr>
      <w:r>
        <w:rPr>
          <w:rFonts w:ascii="Calibri" w:cs="Calibri" w:eastAsia="Calibri" w:hAnsi="Calibri"/>
          <w:b/>
          <w:bCs/>
          <w:color w:val="14161B"/>
          <w:sz w:val="20"/>
          <w:szCs w:val="20"/>
        </w:rPr>
        <w:t xml:space="preserve">Number resolutions and keep the sequence</w:t>
      </w:r>
    </w:p>
    <w:p>
      <w:pPr>
        <w:spacing w:after="60" w:line="264"/>
        <w:jc w:val="both"/>
      </w:pPr>
      <w:r>
        <w:rPr>
          <w:rFonts w:ascii="Calibri" w:cs="Calibri" w:eastAsia="Calibri" w:hAnsi="Calibri"/>
          <w:sz w:val="19"/>
          <w:szCs w:val="19"/>
        </w:rPr>
        <w:t xml:space="preserve">Gaps prompt questions about what is missing. A simple numbered register makes the governance history legible and takes minutes to maintain.</w:t>
      </w:r>
    </w:p>
    <w:p>
      <w:pPr>
        <w:keepNext/>
        <w:spacing w:after="40" w:before="140"/>
      </w:pPr>
      <w:r>
        <w:rPr>
          <w:rFonts w:ascii="Calibri" w:cs="Calibri" w:eastAsia="Calibri" w:hAnsi="Calibri"/>
          <w:b/>
          <w:bCs/>
          <w:color w:val="14161B"/>
          <w:sz w:val="20"/>
          <w:szCs w:val="20"/>
        </w:rPr>
        <w:t xml:space="preserve">Reconcile bank mandates on every departure</w:t>
      </w:r>
    </w:p>
    <w:p>
      <w:pPr>
        <w:spacing w:after="60" w:line="264"/>
        <w:jc w:val="both"/>
      </w:pPr>
      <w:r>
        <w:rPr>
          <w:rFonts w:ascii="Calibri" w:cs="Calibri" w:eastAsia="Calibri" w:hAnsi="Calibri"/>
          <w:sz w:val="19"/>
          <w:szCs w:val="19"/>
        </w:rPr>
        <w:t xml:space="preserve">A departed manager still on a bank mandate is among the most common live control failures found in diligence. Resigning an office removes nothing automatically. Make it part of the leaver process and confirm it annually.</w:t>
      </w:r>
    </w:p>
    <w:p>
      <w:pPr>
        <w:keepNext/>
        <w:spacing w:after="40" w:before="140"/>
      </w:pPr>
      <w:r>
        <w:rPr>
          <w:rFonts w:ascii="Calibri" w:cs="Calibri" w:eastAsia="Calibri" w:hAnsi="Calibri"/>
          <w:b/>
          <w:bCs/>
          <w:color w:val="14161B"/>
          <w:sz w:val="20"/>
          <w:szCs w:val="20"/>
        </w:rPr>
        <w:t xml:space="preserve">Track powers of attorney granted</w:t>
      </w:r>
    </w:p>
    <w:p>
      <w:pPr>
        <w:spacing w:after="60" w:line="264"/>
        <w:jc w:val="both"/>
      </w:pPr>
      <w:r>
        <w:rPr>
          <w:rFonts w:ascii="Calibri" w:cs="Calibri" w:eastAsia="Calibri" w:hAnsi="Calibri"/>
          <w:sz w:val="19"/>
          <w:szCs w:val="19"/>
        </w:rPr>
        <w:t xml:space="preserve">A power granted years ago for one transaction remains effective against a third party without notice of revocation. An annual review of what has been granted and what revoked closes a genuine exposure.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Commercial Companies Law was amended by Federal Decree-Law 20 of 2025, and duties, notarisation requirements, penalties, insolvency provisions and free zone and financial free zone rules all change — take UAE legal advice on manager and director exposure, and immediately where solvency is in doubt.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2026-08-23T16:28:36.277Z</dcterms:created>
  <dcterms:modified xsi:type="dcterms:W3CDTF">2026-08-23T16:28:36.277Z</dcterms:modified>
</cp:coreProperties>
</file>

<file path=docProps/custom.xml><?xml version="1.0" encoding="utf-8"?>
<Properties xmlns="http://schemas.openxmlformats.org/officeDocument/2006/custom-properties" xmlns:vt="http://schemas.openxmlformats.org/officeDocument/2006/docPropsVTypes"/>
</file>