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footer+xml" PartName="/word/footer1.xml"/>
  <Override ContentType="application/vnd.openxmlformats-officedocument.wordprocessingml.footer+xml" PartName="/word/footer2.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240"/>
        <w:jc w:val="center"/>
      </w:pPr>
      <w:r>
        <w:rPr>
          <w:rFonts w:ascii="Calibri" w:cs="Calibri" w:eastAsia="Calibri" w:hAnsi="Calibri"/>
          <w:b/>
          <w:bCs/>
          <w:color w:val="14161B"/>
          <w:spacing w:val="12"/>
          <w:sz w:val="28"/>
          <w:szCs w:val="28"/>
        </w:rPr>
        <w:t xml:space="preserve">FREE ZONE COMPANY FORMATION</w:t>
      </w:r>
    </w:p>
    <w:p>
      <w:pPr>
        <w:spacing w:after="260"/>
        <w:jc w:val="center"/>
      </w:pPr>
      <w:r>
        <w:rPr>
          <w:rFonts w:ascii="Calibri" w:cs="Calibri" w:eastAsia="Calibri" w:hAnsi="Calibri"/>
          <w:i/>
          <w:iCs/>
          <w:color w:val="6E7480"/>
          <w:sz w:val="19"/>
          <w:szCs w:val="19"/>
        </w:rPr>
        <w:t xml:space="preserve">Selecting a zone and incorporating</w:t>
      </w:r>
    </w:p>
    <w:p>
      <w:pPr>
        <w:spacing w:after="180" w:before="0" w:line="276"/>
        <w:jc w:val="both"/>
      </w:pPr>
      <w:r>
        <w:rPr>
          <w:rFonts w:ascii="Calibri" w:cs="Calibri" w:eastAsia="Calibri" w:hAnsi="Calibri"/>
          <w:i/>
          <w:iCs/>
          <w:color w:val="6E7480"/>
          <w:sz w:val="21"/>
          <w:szCs w:val="21"/>
        </w:rPr>
        <w:t xml:space="preserve">There are more than forty free zones and they differ on activity lists, visa packages, office requirements, audit rules and cost. The zone is chosen </w:t>
      </w:r>
      <w:r>
        <w:rPr>
          <w:rFonts w:ascii="Calibri" w:cs="Calibri" w:eastAsia="Calibri" w:hAnsi="Calibri"/>
          <w:b/>
          <w:bCs/>
          <w:i/>
          <w:iCs/>
          <w:color w:val="6E7480"/>
          <w:sz w:val="21"/>
          <w:szCs w:val="21"/>
        </w:rPr>
        <w:t xml:space="preserve">after</w:t>
      </w:r>
      <w:r>
        <w:rPr>
          <w:rFonts w:ascii="Calibri" w:cs="Calibri" w:eastAsia="Calibri" w:hAnsi="Calibri"/>
          <w:i/>
          <w:iCs/>
          <w:color w:val="6E7480"/>
          <w:sz w:val="21"/>
          <w:szCs w:val="21"/>
        </w:rPr>
        <w:t xml:space="preserve"> the jurisdiction decision, and the two questions that decide it are: does the zone licence what you actually do, and does the package carry the visas you need.</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3469"/>
        <w:gridCol w:w="6169"/>
      </w:tblGrid>
      <w:tr>
        <w:trPr>
          <w:cantSplit/>
          <w:tblHeader/>
        </w:trPr>
        <w:tc>
          <w:tcPr>
            <w:tcW w:type="dxa" w:w="3469"/>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Item</w:t>
            </w:r>
          </w:p>
        </w:tc>
        <w:tc>
          <w:tcPr>
            <w:tcW w:type="dxa" w:w="6169"/>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Detail</w:t>
            </w:r>
          </w:p>
        </w:tc>
      </w:tr>
      <w:tr>
        <w:trPr>
          <w:cantSplit/>
        </w:trP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Proposed name</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[NAME]</w:t>
            </w:r>
            <w:r>
              <w:rPr>
                <w:rFonts w:ascii="Calibri" w:cs="Calibri" w:eastAsia="Calibri" w:hAnsi="Calibri"/>
                <w:sz w:val="19"/>
                <w:szCs w:val="19"/>
              </w:rPr>
              <w:t xml:space="preserve"> — FZ-LLC, FZE or FZCO</w:t>
            </w:r>
          </w:p>
        </w:tc>
      </w:tr>
      <w:tr>
        <w:trPr>
          <w:cantSplit/>
        </w:trP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Free zone</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[NAME]</w:t>
            </w:r>
          </w:p>
        </w:tc>
      </w:tr>
      <w:tr>
        <w:trPr>
          <w:cantSplit/>
        </w:trP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Emirate</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[EMIRATE]</w:t>
            </w:r>
          </w:p>
        </w:tc>
      </w:tr>
      <w:tr>
        <w:trPr>
          <w:cantSplit/>
        </w:trP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Legal form</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[FZE — single shareholder / FZCO or FZ-LLC — multiple / Branch]</w:t>
            </w:r>
          </w:p>
        </w:tc>
      </w:tr>
      <w:tr>
        <w:trPr>
          <w:cantSplit/>
        </w:trP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Licensed activities</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[LIST]</w:t>
            </w:r>
          </w:p>
        </w:tc>
      </w:tr>
      <w:tr>
        <w:trPr>
          <w:cantSplit/>
        </w:trP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Licence type</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[Commercial / Service / Industrial / Trading / Freelance]</w:t>
            </w:r>
          </w:p>
        </w:tc>
      </w:tr>
      <w:tr>
        <w:trPr>
          <w:cantSplit/>
        </w:trP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Shareholders</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[NAMES AND PERCENTAGES]</w:t>
            </w:r>
          </w:p>
        </w:tc>
      </w:tr>
      <w:tr>
        <w:trPr>
          <w:cantSplit/>
        </w:trP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Share capital</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AED </w:t>
            </w:r>
            <w:r>
              <w:rPr>
                <w:rFonts w:ascii="Calibri" w:cs="Calibri" w:eastAsia="Calibri" w:hAnsi="Calibri"/>
                <w:b/>
                <w:bCs/>
                <w:sz w:val="19"/>
                <w:szCs w:val="19"/>
              </w:rPr>
              <w:t xml:space="preserve">[AMOUNT]</w:t>
            </w:r>
          </w:p>
        </w:tc>
      </w:tr>
      <w:tr>
        <w:trPr>
          <w:cantSplit/>
        </w:trP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Facility</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[Flexi-desk / Office / Warehouse]</w:t>
            </w:r>
            <w:r>
              <w:rPr>
                <w:rFonts w:ascii="Calibri" w:cs="Calibri" w:eastAsia="Calibri" w:hAnsi="Calibri"/>
                <w:sz w:val="19"/>
                <w:szCs w:val="19"/>
              </w:rPr>
              <w:t xml:space="preserve"> — </w:t>
            </w:r>
            <w:r>
              <w:rPr>
                <w:rFonts w:ascii="Calibri" w:cs="Calibri" w:eastAsia="Calibri" w:hAnsi="Calibri"/>
                <w:b/>
                <w:bCs/>
                <w:sz w:val="19"/>
                <w:szCs w:val="19"/>
              </w:rPr>
              <w:t xml:space="preserve">visa quota linked</w:t>
            </w:r>
          </w:p>
        </w:tc>
      </w:tr>
      <w:tr>
        <w:trPr>
          <w:cantSplit/>
        </w:trP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Visa quota</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[NUMBER]</w:t>
            </w:r>
          </w:p>
        </w:tc>
      </w:tr>
      <w:tr>
        <w:trPr>
          <w:cantSplit/>
        </w:trP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Designated zone for VAT?</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[Y/N]</w:t>
            </w:r>
            <w:r>
              <w:rPr>
                <w:rFonts w:ascii="Calibri" w:cs="Calibri" w:eastAsia="Calibri" w:hAnsi="Calibri"/>
                <w:sz w:val="19"/>
                <w:szCs w:val="19"/>
              </w:rPr>
              <w:t xml:space="preserve"> — </w:t>
            </w:r>
            <w:r>
              <w:rPr>
                <w:rFonts w:ascii="Calibri" w:cs="Calibri" w:eastAsia="Calibri" w:hAnsi="Calibri"/>
                <w:i/>
                <w:iCs/>
                <w:sz w:val="19"/>
                <w:szCs w:val="19"/>
              </w:rPr>
              <w:t xml:space="preserve">a different question from corporate tax</w:t>
            </w:r>
          </w:p>
        </w:tc>
      </w:tr>
      <w:tr>
        <w:trPr>
          <w:cantSplit/>
        </w:trP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Licence issued</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r>
              <w:rPr>
                <w:rFonts w:ascii="Calibri" w:cs="Calibri" w:eastAsia="Calibri" w:hAnsi="Calibri"/>
                <w:sz w:val="19"/>
                <w:szCs w:val="19"/>
              </w:rPr>
              <w:t xml:space="preserve">  Number: </w:t>
            </w:r>
            <w:r>
              <w:rPr>
                <w:rFonts w:ascii="Calibri" w:cs="Calibri" w:eastAsia="Calibri" w:hAnsi="Calibri"/>
                <w:b/>
                <w:bCs/>
                <w:sz w:val="19"/>
                <w:szCs w:val="19"/>
              </w:rPr>
              <w:t xml:space="preserve">[NUMBER]</w:t>
            </w:r>
          </w:p>
        </w:tc>
      </w:tr>
    </w:tbl>
    <w:p>
      <w:pPr>
        <w:spacing w:after="180"/>
      </w:pPr>
    </w:p>
    <w:p>
      <w:pPr>
        <w:keepNext/>
        <w:spacing w:after="120" w:before="280"/>
        <w:outlineLvl w:val="0"/>
      </w:pPr>
      <w:r>
        <w:rPr>
          <w:rFonts w:ascii="Calibri" w:cs="Calibri" w:eastAsia="Calibri" w:hAnsi="Calibri"/>
          <w:b/>
          <w:bCs/>
          <w:color w:val="14161B"/>
          <w:sz w:val="22"/>
          <w:szCs w:val="22"/>
        </w:rPr>
        <w:t xml:space="preserve">1. CHOOSING THE ZONE</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385"/>
        <w:gridCol w:w="3276"/>
        <w:gridCol w:w="4047"/>
        <w:gridCol w:w="1930"/>
      </w:tblGrid>
      <w:tr>
        <w:trPr>
          <w:cantSplit/>
          <w:tblHeader/>
        </w:trPr>
        <w:tc>
          <w:tcPr>
            <w:tcW w:type="dxa" w:w="385"/>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w:t>
            </w:r>
          </w:p>
        </w:tc>
        <w:tc>
          <w:tcPr>
            <w:tcW w:type="dxa" w:w="3276"/>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Question</w:t>
            </w:r>
          </w:p>
        </w:tc>
        <w:tc>
          <w:tcPr>
            <w:tcW w:type="dxa" w:w="4047"/>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Why it decides</w:t>
            </w:r>
          </w:p>
        </w:tc>
        <w:tc>
          <w:tcPr>
            <w:tcW w:type="dxa" w:w="1930"/>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Answer</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1</w:t>
            </w:r>
          </w:p>
        </w:tc>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Does the zone licence our exact activity?</w:t>
            </w:r>
          </w:p>
        </w:tc>
        <w:tc>
          <w:tcPr>
            <w:tcW w:type="dxa" w:w="4047"/>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Activity lists differ; a zone that does not licence it is not an option</w:t>
            </w:r>
          </w:p>
        </w:tc>
        <w:tc>
          <w:tcPr>
            <w:tcW w:type="dxa" w:w="1930"/>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[DETAIL]</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2</w:t>
            </w:r>
          </w:p>
        </w:tc>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How many visas do we need in year one and year three?</w:t>
            </w:r>
          </w:p>
        </w:tc>
        <w:tc>
          <w:tcPr>
            <w:tcW w:type="dxa" w:w="4047"/>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Quota is linked to the facility taken</w:t>
            </w:r>
          </w:p>
        </w:tc>
        <w:tc>
          <w:tcPr>
            <w:tcW w:type="dxa" w:w="1930"/>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[NUMBER]</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3</w:t>
            </w:r>
          </w:p>
        </w:tc>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Do we need physical space, warehousing or just a desk?</w:t>
            </w:r>
          </w:p>
        </w:tc>
        <w:tc>
          <w:tcPr>
            <w:tcW w:type="dxa" w:w="4047"/>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Drives cost and quota</w:t>
            </w:r>
          </w:p>
        </w:tc>
        <w:tc>
          <w:tcPr>
            <w:tcW w:type="dxa" w:w="1930"/>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[DETAIL]</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4</w:t>
            </w:r>
          </w:p>
        </w:tc>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Is the zone a </w:t>
            </w:r>
            <w:r>
              <w:rPr>
                <w:rFonts w:ascii="Calibri" w:cs="Calibri" w:eastAsia="Calibri" w:hAnsi="Calibri"/>
                <w:b/>
                <w:bCs/>
                <w:sz w:val="17"/>
                <w:szCs w:val="17"/>
              </w:rPr>
              <w:t xml:space="preserve">designated zone</w:t>
            </w:r>
            <w:r>
              <w:rPr>
                <w:rFonts w:ascii="Calibri" w:cs="Calibri" w:eastAsia="Calibri" w:hAnsi="Calibri"/>
                <w:sz w:val="17"/>
                <w:szCs w:val="17"/>
              </w:rPr>
              <w:t xml:space="preserve"> for VAT?</w:t>
            </w:r>
          </w:p>
        </w:tc>
        <w:tc>
          <w:tcPr>
            <w:tcW w:type="dxa" w:w="4047"/>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Affects VAT treatment of goods, not services</w:t>
            </w:r>
          </w:p>
        </w:tc>
        <w:tc>
          <w:tcPr>
            <w:tcW w:type="dxa" w:w="1930"/>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[Y/N]</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5</w:t>
            </w:r>
          </w:p>
        </w:tc>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Does the zone require audited accounts?</w:t>
            </w:r>
          </w:p>
        </w:tc>
        <w:tc>
          <w:tcPr>
            <w:tcW w:type="dxa" w:w="4047"/>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Some do; a QFZP claim requires them regardless</w:t>
            </w:r>
          </w:p>
        </w:tc>
        <w:tc>
          <w:tcPr>
            <w:tcW w:type="dxa" w:w="1930"/>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[Y/N]</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6</w:t>
            </w:r>
          </w:p>
        </w:tc>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What is the renewal cost, not the first-year offer?</w:t>
            </w:r>
          </w:p>
        </w:tc>
        <w:tc>
          <w:tcPr>
            <w:tcW w:type="dxa" w:w="4047"/>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Introductory pricing is common</w:t>
            </w:r>
          </w:p>
        </w:tc>
        <w:tc>
          <w:tcPr>
            <w:tcW w:type="dxa" w:w="1930"/>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[AMOUNT]</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7</w:t>
            </w:r>
          </w:p>
        </w:tc>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Which banks work readily with this zone?</w:t>
            </w:r>
          </w:p>
        </w:tc>
        <w:tc>
          <w:tcPr>
            <w:tcW w:type="dxa" w:w="4047"/>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Account opening difficulty varies by zone</w:t>
            </w:r>
          </w:p>
        </w:tc>
        <w:tc>
          <w:tcPr>
            <w:tcW w:type="dxa" w:w="1930"/>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[DETAIL]</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8</w:t>
            </w:r>
          </w:p>
        </w:tc>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Is the zone recognised by our customers and counterparties?</w:t>
            </w:r>
          </w:p>
        </w:tc>
        <w:tc>
          <w:tcPr>
            <w:tcW w:type="dxa" w:w="4047"/>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Some zones carry more credibility with banks and clients</w:t>
            </w:r>
          </w:p>
        </w:tc>
        <w:tc>
          <w:tcPr>
            <w:tcW w:type="dxa" w:w="1930"/>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[DETAIL]</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9</w:t>
            </w:r>
          </w:p>
        </w:tc>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Does the federal labour law apply in full here?</w:t>
            </w:r>
          </w:p>
        </w:tc>
        <w:tc>
          <w:tcPr>
            <w:tcW w:type="dxa" w:w="4047"/>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Varies by zone</w:t>
            </w:r>
            <w:r>
              <w:rPr>
                <w:rFonts w:ascii="Calibri" w:cs="Calibri" w:eastAsia="Calibri" w:hAnsi="Calibri"/>
                <w:sz w:val="17"/>
                <w:szCs w:val="17"/>
              </w:rPr>
              <w:t xml:space="preserve"> — affects the employment documents</w:t>
            </w:r>
          </w:p>
        </w:tc>
        <w:tc>
          <w:tcPr>
            <w:tcW w:type="dxa" w:w="1930"/>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[DETAIL]</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10</w:t>
            </w:r>
          </w:p>
        </w:tc>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Can we redomicile out later if we need to?</w:t>
            </w:r>
          </w:p>
        </w:tc>
        <w:tc>
          <w:tcPr>
            <w:tcW w:type="dxa" w:w="4047"/>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Now possible between mainland and free zones</w:t>
            </w:r>
          </w:p>
        </w:tc>
        <w:tc>
          <w:tcPr>
            <w:tcW w:type="dxa" w:w="1930"/>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[DETAIL]</w:t>
            </w:r>
          </w:p>
        </w:tc>
      </w:tr>
    </w:tbl>
    <w:p>
      <w:pPr>
        <w:spacing w:after="140"/>
      </w:pPr>
    </w:p>
    <w:p>
      <w:pPr>
        <w:spacing w:after="120" w:before="60" w:line="276"/>
        <w:ind w:left="720" w:hanging="720"/>
        <w:jc w:val="both"/>
      </w:pPr>
      <w:r>
        <w:rPr>
          <w:rFonts w:ascii="Calibri" w:cs="Calibri" w:eastAsia="Calibri" w:hAnsi="Calibri"/>
          <w:sz w:val="21"/>
          <w:szCs w:val="21"/>
        </w:rPr>
        <w:t xml:space="preserve">1.1	</w:t>
      </w:r>
      <w:r>
        <w:rPr>
          <w:rFonts w:ascii="Calibri" w:cs="Calibri" w:eastAsia="Calibri" w:hAnsi="Calibri"/>
          <w:i/>
          <w:iCs/>
          <w:sz w:val="21"/>
          <w:szCs w:val="21"/>
        </w:rPr>
        <w:t xml:space="preserve">Question 1 eliminates most zones immediately. Question 9 is the one people never ask, and it determines whether the mainland employment templates apply unchanged.</w:t>
      </w:r>
    </w:p>
    <w:p>
      <w:pPr>
        <w:keepNext/>
        <w:spacing w:after="120" w:before="280"/>
        <w:outlineLvl w:val="0"/>
      </w:pPr>
      <w:r>
        <w:rPr>
          <w:rFonts w:ascii="Calibri" w:cs="Calibri" w:eastAsia="Calibri" w:hAnsi="Calibri"/>
          <w:b/>
          <w:bCs/>
          <w:color w:val="14161B"/>
          <w:sz w:val="22"/>
          <w:szCs w:val="22"/>
        </w:rPr>
        <w:t xml:space="preserve">2. LEGAL FORMS</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2891"/>
        <w:gridCol w:w="1734"/>
        <w:gridCol w:w="5013"/>
      </w:tblGrid>
      <w:tr>
        <w:trPr>
          <w:cantSplit/>
          <w:tblHeader/>
        </w:trPr>
        <w:tc>
          <w:tcPr>
            <w:tcW w:type="dxa" w:w="2891"/>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Form</w:t>
            </w:r>
          </w:p>
        </w:tc>
        <w:tc>
          <w:tcPr>
            <w:tcW w:type="dxa" w:w="1734"/>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Shareholders</w:t>
            </w:r>
          </w:p>
        </w:tc>
        <w:tc>
          <w:tcPr>
            <w:tcW w:type="dxa" w:w="5013"/>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Note</w:t>
            </w:r>
          </w:p>
        </w:tc>
      </w:tr>
      <w:tr>
        <w:trPr>
          <w:cantSplit/>
        </w:trPr>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FZE</w:t>
            </w:r>
            <w:r>
              <w:rPr>
                <w:rFonts w:ascii="Calibri" w:cs="Calibri" w:eastAsia="Calibri" w:hAnsi="Calibri"/>
                <w:sz w:val="18"/>
                <w:szCs w:val="18"/>
              </w:rPr>
              <w:t xml:space="preserve"> — Free Zone Establishment</w:t>
            </w:r>
          </w:p>
        </w:tc>
        <w:tc>
          <w:tcPr>
            <w:tcW w:type="dxa" w:w="1734"/>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One</w:t>
            </w:r>
          </w:p>
        </w:tc>
        <w:tc>
          <w:tcPr>
            <w:tcW w:type="dxa" w:w="5013"/>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Single shareholder, corporate or individual</w:t>
            </w:r>
          </w:p>
        </w:tc>
      </w:tr>
      <w:tr>
        <w:trPr>
          <w:cantSplit/>
        </w:trPr>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FZCO / FZ-LLC</w:t>
            </w:r>
          </w:p>
        </w:tc>
        <w:tc>
          <w:tcPr>
            <w:tcW w:type="dxa" w:w="1734"/>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Two or more</w:t>
            </w:r>
          </w:p>
        </w:tc>
        <w:tc>
          <w:tcPr>
            <w:tcW w:type="dxa" w:w="5013"/>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Multiple shareholders; the usual form for a funded company</w:t>
            </w:r>
          </w:p>
        </w:tc>
      </w:tr>
      <w:tr>
        <w:trPr>
          <w:cantSplit/>
        </w:trPr>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Branch</w:t>
            </w:r>
            <w:r>
              <w:rPr>
                <w:rFonts w:ascii="Calibri" w:cs="Calibri" w:eastAsia="Calibri" w:hAnsi="Calibri"/>
                <w:sz w:val="18"/>
                <w:szCs w:val="18"/>
              </w:rPr>
              <w:t xml:space="preserve"> of a UAE or foreign company</w:t>
            </w:r>
          </w:p>
        </w:tc>
        <w:tc>
          <w:tcPr>
            <w:tcW w:type="dxa" w:w="1734"/>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w:t>
            </w:r>
          </w:p>
        </w:tc>
        <w:tc>
          <w:tcPr>
            <w:tcW w:type="dxa" w:w="5013"/>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Not a separate legal entity; the parent remains liable</w:t>
            </w:r>
          </w:p>
        </w:tc>
      </w:tr>
      <w:tr>
        <w:trPr>
          <w:cantSplit/>
        </w:trPr>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Freelance permit</w:t>
            </w:r>
          </w:p>
        </w:tc>
        <w:tc>
          <w:tcPr>
            <w:tcW w:type="dxa" w:w="1734"/>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One individual</w:t>
            </w:r>
          </w:p>
        </w:tc>
        <w:tc>
          <w:tcPr>
            <w:tcW w:type="dxa" w:w="5013"/>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Professional activity in the holder’s own name; limited scope</w:t>
            </w:r>
          </w:p>
        </w:tc>
      </w:tr>
      <w:tr>
        <w:trPr>
          <w:cantSplit/>
        </w:trPr>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[Zone-specific forms]</w:t>
            </w:r>
          </w:p>
        </w:tc>
        <w:tc>
          <w:tcPr>
            <w:tcW w:type="dxa" w:w="1734"/>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[Varies]</w:t>
            </w:r>
          </w:p>
        </w:tc>
        <w:tc>
          <w:tcPr>
            <w:tcW w:type="dxa" w:w="5013"/>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Some zones offer SPVs, holding structures or dual licences</w:t>
            </w:r>
          </w:p>
        </w:tc>
      </w:tr>
    </w:tbl>
    <w:p>
      <w:pPr>
        <w:keepNext/>
        <w:spacing w:after="120" w:before="280"/>
        <w:outlineLvl w:val="0"/>
      </w:pPr>
      <w:r>
        <w:rPr>
          <w:rFonts w:ascii="Calibri" w:cs="Calibri" w:eastAsia="Calibri" w:hAnsi="Calibri"/>
          <w:b/>
          <w:bCs/>
          <w:color w:val="14161B"/>
          <w:sz w:val="22"/>
          <w:szCs w:val="22"/>
        </w:rPr>
        <w:t xml:space="preserve">3. PROCESS</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385"/>
        <w:gridCol w:w="5011"/>
        <w:gridCol w:w="2698"/>
        <w:gridCol w:w="1544"/>
      </w:tblGrid>
      <w:tr>
        <w:trPr>
          <w:cantSplit/>
          <w:tblHeader/>
        </w:trPr>
        <w:tc>
          <w:tcPr>
            <w:tcW w:type="dxa" w:w="385"/>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w:t>
            </w:r>
          </w:p>
        </w:tc>
        <w:tc>
          <w:tcPr>
            <w:tcW w:type="dxa" w:w="5011"/>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Step</w:t>
            </w:r>
          </w:p>
        </w:tc>
        <w:tc>
          <w:tcPr>
            <w:tcW w:type="dxa" w:w="2698"/>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Output</w:t>
            </w:r>
          </w:p>
        </w:tc>
        <w:tc>
          <w:tcPr>
            <w:tcW w:type="dxa" w:w="1544"/>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Done</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1</w:t>
            </w:r>
          </w:p>
        </w:tc>
        <w:tc>
          <w:tcPr>
            <w:tcW w:type="dxa" w:w="501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Confirm the zone licences the activity</w:t>
            </w:r>
          </w:p>
        </w:tc>
        <w:tc>
          <w:tcPr>
            <w:tcW w:type="dxa" w:w="2698"/>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Written confirmation</w:t>
            </w: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2</w:t>
            </w:r>
          </w:p>
        </w:tc>
        <w:tc>
          <w:tcPr>
            <w:tcW w:type="dxa" w:w="501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Reserve the trade name</w:t>
            </w:r>
          </w:p>
        </w:tc>
        <w:tc>
          <w:tcPr>
            <w:tcW w:type="dxa" w:w="2698"/>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Name approval</w:t>
            </w: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3</w:t>
            </w:r>
          </w:p>
        </w:tc>
        <w:tc>
          <w:tcPr>
            <w:tcW w:type="dxa" w:w="501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Submit the application with shareholder documents</w:t>
            </w:r>
          </w:p>
        </w:tc>
        <w:tc>
          <w:tcPr>
            <w:tcW w:type="dxa" w:w="2698"/>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Initial approval</w:t>
            </w: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4</w:t>
            </w:r>
          </w:p>
        </w:tc>
        <w:tc>
          <w:tcPr>
            <w:tcW w:type="dxa" w:w="501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Attest and legalise foreign corporate documents</w:t>
            </w:r>
          </w:p>
        </w:tc>
        <w:tc>
          <w:tcPr>
            <w:tcW w:type="dxa" w:w="2698"/>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Attested set</w:t>
            </w: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5</w:t>
            </w:r>
          </w:p>
        </w:tc>
        <w:tc>
          <w:tcPr>
            <w:tcW w:type="dxa" w:w="501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Select the facility — flexi-desk, office or warehouse</w:t>
            </w:r>
          </w:p>
        </w:tc>
        <w:tc>
          <w:tcPr>
            <w:tcW w:type="dxa" w:w="2698"/>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Lease agreement</w:t>
            </w: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6</w:t>
            </w:r>
          </w:p>
        </w:tc>
        <w:tc>
          <w:tcPr>
            <w:tcW w:type="dxa" w:w="501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Pay licence and facility fees</w:t>
            </w:r>
          </w:p>
        </w:tc>
        <w:tc>
          <w:tcPr>
            <w:tcW w:type="dxa" w:w="2698"/>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Payment receipt</w:t>
            </w: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7</w:t>
            </w:r>
          </w:p>
        </w:tc>
        <w:tc>
          <w:tcPr>
            <w:tcW w:type="dxa" w:w="501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Execute the constitutional documents</w:t>
            </w:r>
          </w:p>
        </w:tc>
        <w:tc>
          <w:tcPr>
            <w:tcW w:type="dxa" w:w="2698"/>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Articles / MOA</w:t>
            </w: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8</w:t>
            </w:r>
          </w:p>
        </w:tc>
        <w:tc>
          <w:tcPr>
            <w:tcW w:type="dxa" w:w="5011"/>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Trade licence issued</w:t>
            </w:r>
          </w:p>
        </w:tc>
        <w:tc>
          <w:tcPr>
            <w:tcW w:type="dxa" w:w="2698"/>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Licence</w:t>
            </w: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9</w:t>
            </w:r>
          </w:p>
        </w:tc>
        <w:tc>
          <w:tcPr>
            <w:tcW w:type="dxa" w:w="5011"/>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Establishment card / immigration card</w:t>
            </w:r>
          </w:p>
        </w:tc>
        <w:tc>
          <w:tcPr>
            <w:tcW w:type="dxa" w:w="2698"/>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Card</w:t>
            </w: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10</w:t>
            </w:r>
          </w:p>
        </w:tc>
        <w:tc>
          <w:tcPr>
            <w:tcW w:type="dxa" w:w="501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Open the corporate bank account</w:t>
            </w:r>
          </w:p>
        </w:tc>
        <w:tc>
          <w:tcPr>
            <w:tcW w:type="dxa" w:w="2698"/>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Account and IBAN</w:t>
            </w: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11</w:t>
            </w:r>
          </w:p>
        </w:tc>
        <w:tc>
          <w:tcPr>
            <w:tcW w:type="dxa" w:w="5011"/>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Corporate tax registration</w:t>
            </w:r>
          </w:p>
        </w:tc>
        <w:tc>
          <w:tcPr>
            <w:tcW w:type="dxa" w:w="2698"/>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TRN</w:t>
            </w: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12</w:t>
            </w:r>
          </w:p>
        </w:tc>
        <w:tc>
          <w:tcPr>
            <w:tcW w:type="dxa" w:w="501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VAT registration where applicable</w:t>
            </w:r>
          </w:p>
        </w:tc>
        <w:tc>
          <w:tcPr>
            <w:tcW w:type="dxa" w:w="2698"/>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TRN</w:t>
            </w: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13</w:t>
            </w:r>
          </w:p>
        </w:tc>
        <w:tc>
          <w:tcPr>
            <w:tcW w:type="dxa" w:w="5011"/>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UBO filing</w:t>
            </w:r>
            <w:r>
              <w:rPr>
                <w:rFonts w:ascii="Calibri" w:cs="Calibri" w:eastAsia="Calibri" w:hAnsi="Calibri"/>
                <w:sz w:val="17"/>
                <w:szCs w:val="17"/>
              </w:rPr>
              <w:t xml:space="preserve"> with the zone</w:t>
            </w:r>
          </w:p>
        </w:tc>
        <w:tc>
          <w:tcPr>
            <w:tcW w:type="dxa" w:w="2698"/>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UBO register</w:t>
            </w: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14</w:t>
            </w:r>
          </w:p>
        </w:tc>
        <w:tc>
          <w:tcPr>
            <w:tcW w:type="dxa" w:w="501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WPS arrangement set up through the zone</w:t>
            </w:r>
          </w:p>
        </w:tc>
        <w:tc>
          <w:tcPr>
            <w:tcW w:type="dxa" w:w="2698"/>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WPS setup</w:t>
            </w: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15</w:t>
            </w:r>
          </w:p>
        </w:tc>
        <w:tc>
          <w:tcPr>
            <w:tcW w:type="dxa" w:w="501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Visa quota confirmed and permits started</w:t>
            </w:r>
          </w:p>
        </w:tc>
        <w:tc>
          <w:tcPr>
            <w:tcW w:type="dxa" w:w="2698"/>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Quota approval</w:t>
            </w: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r>
    </w:tbl>
    <w:p>
      <w:pPr>
        <w:spacing w:after="140"/>
      </w:pPr>
    </w:p>
    <w:p>
      <w:pPr>
        <w:spacing w:after="120" w:before="60" w:line="276"/>
        <w:ind w:left="720" w:hanging="720"/>
        <w:jc w:val="both"/>
      </w:pPr>
      <w:r>
        <w:rPr>
          <w:rFonts w:ascii="Calibri" w:cs="Calibri" w:eastAsia="Calibri" w:hAnsi="Calibri"/>
          <w:sz w:val="21"/>
          <w:szCs w:val="21"/>
        </w:rPr>
        <w:t xml:space="preserve">3.1	</w:t>
      </w:r>
      <w:r>
        <w:rPr>
          <w:rFonts w:ascii="Calibri" w:cs="Calibri" w:eastAsia="Calibri" w:hAnsi="Calibri"/>
          <w:i/>
          <w:iCs/>
          <w:sz w:val="21"/>
          <w:szCs w:val="21"/>
        </w:rPr>
        <w:t xml:space="preserve">Free zone incorporation is generally faster than mainland — often days rather than weeks — because there is no notarisation of the constitutional documents and no external DED approval. The bank account remains the slow step.</w:t>
      </w:r>
    </w:p>
    <w:p>
      <w:pPr>
        <w:spacing w:after="0" w:before="0" w:line="1"/>
      </w:pPr>
      <w:r>
        <w:br w:type="page"/>
      </w:r>
    </w:p>
    <w:p>
      <w:pPr>
        <w:keepNext/>
        <w:spacing w:after="120" w:before="280"/>
        <w:outlineLvl w:val="0"/>
      </w:pPr>
      <w:r>
        <w:rPr>
          <w:rFonts w:ascii="Calibri" w:cs="Calibri" w:eastAsia="Calibri" w:hAnsi="Calibri"/>
          <w:b/>
          <w:bCs/>
          <w:color w:val="14161B"/>
          <w:sz w:val="22"/>
          <w:szCs w:val="22"/>
        </w:rPr>
        <w:t xml:space="preserve">4. WHAT THE LICENCE DOES NOT GIVE YOU</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2505"/>
        <w:gridCol w:w="7133"/>
      </w:tblGrid>
      <w:tr>
        <w:trPr>
          <w:cantSplit/>
          <w:tblHeader/>
        </w:trPr>
        <w:tc>
          <w:tcPr>
            <w:tcW w:type="dxa" w:w="2505"/>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Assumption</w:t>
            </w:r>
          </w:p>
        </w:tc>
        <w:tc>
          <w:tcPr>
            <w:tcW w:type="dxa" w:w="7133"/>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Reality</w:t>
            </w:r>
          </w:p>
        </w:tc>
      </w:tr>
      <w:tr>
        <w:trPr>
          <w:cantSplit/>
        </w:trPr>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"Free zone means no tax"</w:t>
            </w:r>
          </w:p>
        </w:tc>
        <w:tc>
          <w:tcPr>
            <w:tcW w:type="dxa" w:w="7133"/>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No.</w:t>
            </w:r>
            <w:r>
              <w:rPr>
                <w:rFonts w:ascii="Calibri" w:cs="Calibri" w:eastAsia="Calibri" w:hAnsi="Calibri"/>
                <w:sz w:val="17"/>
                <w:szCs w:val="17"/>
              </w:rPr>
              <w:t xml:space="preserve"> The 0% rate requires Qualifying Free Zone Person status, qualifying income, substance, transfer pricing compliance and audited accounts. Otherwise 9% applies</w:t>
            </w:r>
          </w:p>
        </w:tc>
      </w:tr>
      <w:tr>
        <w:trPr>
          <w:cantSplit/>
        </w:trPr>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"We can sell anywhere in the UAE"</w:t>
            </w:r>
          </w:p>
        </w:tc>
        <w:tc>
          <w:tcPr>
            <w:tcW w:type="dxa" w:w="7133"/>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No.</w:t>
            </w:r>
            <w:r>
              <w:rPr>
                <w:rFonts w:ascii="Calibri" w:cs="Calibri" w:eastAsia="Calibri" w:hAnsi="Calibri"/>
                <w:sz w:val="17"/>
                <w:szCs w:val="17"/>
              </w:rPr>
              <w:t xml:space="preserve"> Serving mainland customers directly is restricted. The income is non-qualifying for corporate tax and may breach the de minimis</w:t>
            </w:r>
          </w:p>
        </w:tc>
      </w:tr>
      <w:tr>
        <w:trPr>
          <w:cantSplit/>
        </w:trPr>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"Free zone means no VAT"</w:t>
            </w:r>
          </w:p>
        </w:tc>
        <w:tc>
          <w:tcPr>
            <w:tcW w:type="dxa" w:w="7133"/>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No.</w:t>
            </w:r>
            <w:r>
              <w:rPr>
                <w:rFonts w:ascii="Calibri" w:cs="Calibri" w:eastAsia="Calibri" w:hAnsi="Calibri"/>
                <w:sz w:val="17"/>
                <w:szCs w:val="17"/>
              </w:rPr>
              <w:t xml:space="preserve"> Services are subject to 5% VAT regardless of zone. Designated zones affect goods only, and in defined circumstances</w:t>
            </w:r>
          </w:p>
        </w:tc>
      </w:tr>
      <w:tr>
        <w:trPr>
          <w:cantSplit/>
        </w:trPr>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"We do not need audited accounts"</w:t>
            </w:r>
          </w:p>
        </w:tc>
        <w:tc>
          <w:tcPr>
            <w:tcW w:type="dxa" w:w="7133"/>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Depends.</w:t>
            </w:r>
            <w:r>
              <w:rPr>
                <w:rFonts w:ascii="Calibri" w:cs="Calibri" w:eastAsia="Calibri" w:hAnsi="Calibri"/>
                <w:sz w:val="17"/>
                <w:szCs w:val="17"/>
              </w:rPr>
              <w:t xml:space="preserve"> Some zones require them, and a QFZP claim requires them under current rules</w:t>
            </w:r>
          </w:p>
        </w:tc>
      </w:tr>
      <w:tr>
        <w:trPr>
          <w:cantSplit/>
        </w:trPr>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"Employment is unregulated here"</w:t>
            </w:r>
          </w:p>
        </w:tc>
        <w:tc>
          <w:tcPr>
            <w:tcW w:type="dxa" w:w="7133"/>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No.</w:t>
            </w:r>
            <w:r>
              <w:rPr>
                <w:rFonts w:ascii="Calibri" w:cs="Calibri" w:eastAsia="Calibri" w:hAnsi="Calibri"/>
                <w:sz w:val="17"/>
                <w:szCs w:val="17"/>
              </w:rPr>
              <w:t xml:space="preserve"> The federal labour law applies in most zones, administered by the zone. DIFC and ADGM have their own codes</w:t>
            </w:r>
          </w:p>
        </w:tc>
      </w:tr>
      <w:tr>
        <w:trPr>
          <w:cantSplit/>
        </w:trPr>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"Emiratisation does not apply"</w:t>
            </w:r>
          </w:p>
        </w:tc>
        <w:tc>
          <w:tcPr>
            <w:tcW w:type="dxa" w:w="7133"/>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Generally correct</w:t>
            </w:r>
            <w:r>
              <w:rPr>
                <w:rFonts w:ascii="Calibri" w:cs="Calibri" w:eastAsia="Calibri" w:hAnsi="Calibri"/>
                <w:sz w:val="17"/>
                <w:szCs w:val="17"/>
              </w:rPr>
              <w:t xml:space="preserve"> for free zones — confirm with the zone</w:t>
            </w:r>
          </w:p>
        </w:tc>
      </w:tr>
      <w:tr>
        <w:trPr>
          <w:cantSplit/>
        </w:trPr>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"We can get unlimited visas"</w:t>
            </w:r>
          </w:p>
        </w:tc>
        <w:tc>
          <w:tcPr>
            <w:tcW w:type="dxa" w:w="7133"/>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No.</w:t>
            </w:r>
            <w:r>
              <w:rPr>
                <w:rFonts w:ascii="Calibri" w:cs="Calibri" w:eastAsia="Calibri" w:hAnsi="Calibri"/>
                <w:sz w:val="17"/>
                <w:szCs w:val="17"/>
              </w:rPr>
              <w:t xml:space="preserve"> Quota is linked to the facility taken</w:t>
            </w:r>
          </w:p>
        </w:tc>
      </w:tr>
    </w:tbl>
    <w:p>
      <w:pPr>
        <w:spacing w:after="160"/>
      </w:pPr>
    </w:p>
    <w:p>
      <w:pPr>
        <w:keepNext/>
        <w:spacing w:after="120" w:before="280"/>
        <w:outlineLvl w:val="0"/>
      </w:pPr>
      <w:r>
        <w:rPr>
          <w:rFonts w:ascii="Calibri" w:cs="Calibri" w:eastAsia="Calibri" w:hAnsi="Calibri"/>
          <w:b/>
          <w:bCs/>
          <w:color w:val="14161B"/>
          <w:sz w:val="22"/>
          <w:szCs w:val="22"/>
        </w:rPr>
        <w:t xml:space="preserve">5. DESIGNATED ZONES AND VAT</w:t>
      </w:r>
    </w:p>
    <w:p>
      <w:pPr>
        <w:spacing w:after="120" w:before="60" w:line="276"/>
        <w:ind w:left="720" w:hanging="720"/>
        <w:jc w:val="both"/>
      </w:pPr>
      <w:r>
        <w:rPr>
          <w:rFonts w:ascii="Calibri" w:cs="Calibri" w:eastAsia="Calibri" w:hAnsi="Calibri"/>
          <w:sz w:val="21"/>
          <w:szCs w:val="21"/>
        </w:rPr>
        <w:t xml:space="preserve">5.1	</w:t>
      </w:r>
      <w:r>
        <w:rPr>
          <w:rFonts w:ascii="Calibri" w:cs="Calibri" w:eastAsia="Calibri" w:hAnsi="Calibri"/>
          <w:sz w:val="21"/>
          <w:szCs w:val="21"/>
        </w:rPr>
        <w:t xml:space="preserve">A </w:t>
      </w:r>
      <w:r>
        <w:rPr>
          <w:rFonts w:ascii="Calibri" w:cs="Calibri" w:eastAsia="Calibri" w:hAnsi="Calibri"/>
          <w:b/>
          <w:bCs/>
          <w:sz w:val="21"/>
          <w:szCs w:val="21"/>
        </w:rPr>
        <w:t xml:space="preserve">designated zone</w:t>
      </w:r>
      <w:r>
        <w:rPr>
          <w:rFonts w:ascii="Calibri" w:cs="Calibri" w:eastAsia="Calibri" w:hAnsi="Calibri"/>
          <w:sz w:val="21"/>
          <w:szCs w:val="21"/>
        </w:rPr>
        <w:t xml:space="preserve"> is treated, in defined circumstances, as outside the UAE for VAT purposes in respect of </w:t>
      </w:r>
      <w:r>
        <w:rPr>
          <w:rFonts w:ascii="Calibri" w:cs="Calibri" w:eastAsia="Calibri" w:hAnsi="Calibri"/>
          <w:b/>
          <w:bCs/>
          <w:sz w:val="21"/>
          <w:szCs w:val="21"/>
        </w:rPr>
        <w:t xml:space="preserve">goods</w:t>
      </w:r>
      <w:r>
        <w:rPr>
          <w:rFonts w:ascii="Calibri" w:cs="Calibri" w:eastAsia="Calibri" w:hAnsi="Calibri"/>
          <w:sz w:val="21"/>
          <w:szCs w:val="21"/>
        </w:rPr>
        <w:t xml:space="preserve">.</w:t>
      </w:r>
    </w:p>
    <w:p>
      <w:pPr>
        <w:spacing w:after="120" w:before="60" w:line="276"/>
        <w:ind w:left="720" w:hanging="720"/>
        <w:jc w:val="both"/>
      </w:pPr>
      <w:r>
        <w:rPr>
          <w:rFonts w:ascii="Calibri" w:cs="Calibri" w:eastAsia="Calibri" w:hAnsi="Calibri"/>
          <w:sz w:val="21"/>
          <w:szCs w:val="21"/>
        </w:rPr>
        <w:t xml:space="preserve">5.2	</w:t>
      </w:r>
      <w:r>
        <w:rPr>
          <w:rFonts w:ascii="Calibri" w:cs="Calibri" w:eastAsia="Calibri" w:hAnsi="Calibri"/>
          <w:b/>
          <w:bCs/>
          <w:sz w:val="21"/>
          <w:szCs w:val="21"/>
        </w:rPr>
        <w:t xml:space="preserve">Services are subject to 5% VAT regardless of the zone</w:t>
      </w:r>
      <w:r>
        <w:rPr>
          <w:rFonts w:ascii="Calibri" w:cs="Calibri" w:eastAsia="Calibri" w:hAnsi="Calibri"/>
          <w:sz w:val="21"/>
          <w:szCs w:val="21"/>
        </w:rPr>
        <w:t xml:space="preserve">, designated or not.</w:t>
      </w:r>
    </w:p>
    <w:p>
      <w:pPr>
        <w:spacing w:after="120" w:before="60" w:line="276"/>
        <w:ind w:left="720" w:hanging="720"/>
        <w:jc w:val="both"/>
      </w:pPr>
      <w:r>
        <w:rPr>
          <w:rFonts w:ascii="Calibri" w:cs="Calibri" w:eastAsia="Calibri" w:hAnsi="Calibri"/>
          <w:sz w:val="21"/>
          <w:szCs w:val="21"/>
        </w:rPr>
        <w:t xml:space="preserve">5.3	</w:t>
      </w:r>
      <w:r>
        <w:rPr>
          <w:rFonts w:ascii="Calibri" w:cs="Calibri" w:eastAsia="Calibri" w:hAnsi="Calibri"/>
          <w:sz w:val="21"/>
          <w:szCs w:val="21"/>
        </w:rPr>
        <w:t xml:space="preserve">Goods moving from a designated zone to the mainland become subject to VAT, commonly through the reverse charge mechanism.</w:t>
      </w:r>
    </w:p>
    <w:p>
      <w:pPr>
        <w:spacing w:after="120" w:before="60" w:line="276"/>
        <w:ind w:left="720" w:hanging="720"/>
        <w:jc w:val="both"/>
      </w:pPr>
      <w:r>
        <w:rPr>
          <w:rFonts w:ascii="Calibri" w:cs="Calibri" w:eastAsia="Calibri" w:hAnsi="Calibri"/>
          <w:sz w:val="21"/>
          <w:szCs w:val="21"/>
        </w:rPr>
        <w:t xml:space="preserve">5.4	</w:t>
      </w:r>
      <w:r>
        <w:rPr>
          <w:rFonts w:ascii="Calibri" w:cs="Calibri" w:eastAsia="Calibri" w:hAnsi="Calibri"/>
          <w:b/>
          <w:bCs/>
          <w:sz w:val="21"/>
          <w:szCs w:val="21"/>
        </w:rPr>
        <w:t xml:space="preserve">The VAT designated zone list is a different list from the corporate tax analysis.</w:t>
      </w:r>
      <w:r>
        <w:rPr>
          <w:rFonts w:ascii="Calibri" w:cs="Calibri" w:eastAsia="Calibri" w:hAnsi="Calibri"/>
          <w:sz w:val="21"/>
          <w:szCs w:val="21"/>
        </w:rPr>
        <w:t xml:space="preserve"> A zone being designated for VAT tells you nothing conclusive about qualifying income for corporate tax. Conflating them is a common and confident error.</w:t>
      </w:r>
    </w:p>
    <w:p>
      <w:pPr>
        <w:keepNext/>
        <w:spacing w:after="120" w:before="280"/>
        <w:outlineLvl w:val="0"/>
      </w:pPr>
      <w:r>
        <w:rPr>
          <w:rFonts w:ascii="Calibri" w:cs="Calibri" w:eastAsia="Calibri" w:hAnsi="Calibri"/>
          <w:b/>
          <w:bCs/>
          <w:color w:val="14161B"/>
          <w:sz w:val="22"/>
          <w:szCs w:val="22"/>
        </w:rPr>
        <w:t xml:space="preserve">6. AFTER LICENSING</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385"/>
        <w:gridCol w:w="5011"/>
        <w:gridCol w:w="2698"/>
        <w:gridCol w:w="1544"/>
      </w:tblGrid>
      <w:tr>
        <w:trPr>
          <w:cantSplit/>
          <w:tblHeader/>
        </w:trPr>
        <w:tc>
          <w:tcPr>
            <w:tcW w:type="dxa" w:w="385"/>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w:t>
            </w:r>
          </w:p>
        </w:tc>
        <w:tc>
          <w:tcPr>
            <w:tcW w:type="dxa" w:w="5011"/>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Task</w:t>
            </w:r>
          </w:p>
        </w:tc>
        <w:tc>
          <w:tcPr>
            <w:tcW w:type="dxa" w:w="2698"/>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Timing</w:t>
            </w:r>
          </w:p>
        </w:tc>
        <w:tc>
          <w:tcPr>
            <w:tcW w:type="dxa" w:w="1544"/>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Done</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1</w:t>
            </w:r>
          </w:p>
        </w:tc>
        <w:tc>
          <w:tcPr>
            <w:tcW w:type="dxa" w:w="501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Corporate tax registration</w:t>
            </w:r>
          </w:p>
        </w:tc>
        <w:tc>
          <w:tcPr>
            <w:tcW w:type="dxa" w:w="2698"/>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Per the deadline</w:t>
            </w: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2</w:t>
            </w:r>
          </w:p>
        </w:tc>
        <w:tc>
          <w:tcPr>
            <w:tcW w:type="dxa" w:w="5011"/>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QFZP position assessed</w:t>
            </w:r>
            <w:r>
              <w:rPr>
                <w:rFonts w:ascii="Calibri" w:cs="Calibri" w:eastAsia="Calibri" w:hAnsi="Calibri"/>
                <w:sz w:val="17"/>
                <w:szCs w:val="17"/>
              </w:rPr>
              <w:t xml:space="preserve"> — substance, qualifying income, de minimis</w:t>
            </w:r>
          </w:p>
        </w:tc>
        <w:tc>
          <w:tcPr>
            <w:tcW w:type="dxa" w:w="2698"/>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Month 1, then monthly</w:t>
            </w: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3</w:t>
            </w:r>
          </w:p>
        </w:tc>
        <w:tc>
          <w:tcPr>
            <w:tcW w:type="dxa" w:w="501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VAT registration assessed against the threshold</w:t>
            </w:r>
          </w:p>
        </w:tc>
        <w:tc>
          <w:tcPr>
            <w:tcW w:type="dxa" w:w="2698"/>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Ongoing</w:t>
            </w: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4</w:t>
            </w:r>
          </w:p>
        </w:tc>
        <w:tc>
          <w:tcPr>
            <w:tcW w:type="dxa" w:w="501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UBO register filed with the zone and kept current</w:t>
            </w:r>
          </w:p>
        </w:tc>
        <w:tc>
          <w:tcPr>
            <w:tcW w:type="dxa" w:w="2698"/>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On incorporation and change</w:t>
            </w: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5</w:t>
            </w:r>
          </w:p>
        </w:tc>
        <w:tc>
          <w:tcPr>
            <w:tcW w:type="dxa" w:w="501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Accounting system established to the applicable standard</w:t>
            </w:r>
          </w:p>
        </w:tc>
        <w:tc>
          <w:tcPr>
            <w:tcW w:type="dxa" w:w="2698"/>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Month 1</w:t>
            </w: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6</w:t>
            </w:r>
          </w:p>
        </w:tc>
        <w:tc>
          <w:tcPr>
            <w:tcW w:type="dxa" w:w="501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Audit arrangements confirmed where required</w:t>
            </w:r>
          </w:p>
        </w:tc>
        <w:tc>
          <w:tcPr>
            <w:tcW w:type="dxa" w:w="2698"/>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Before year end</w:t>
            </w: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7</w:t>
            </w:r>
          </w:p>
        </w:tc>
        <w:tc>
          <w:tcPr>
            <w:tcW w:type="dxa" w:w="501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Transfer pricing position reviewed for intra-group charges</w:t>
            </w:r>
          </w:p>
        </w:tc>
        <w:tc>
          <w:tcPr>
            <w:tcW w:type="dxa" w:w="2698"/>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Month 1</w:t>
            </w: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8</w:t>
            </w:r>
          </w:p>
        </w:tc>
        <w:tc>
          <w:tcPr>
            <w:tcW w:type="dxa" w:w="501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Employment documents prepared for the zone regime</w:t>
            </w:r>
          </w:p>
        </w:tc>
        <w:tc>
          <w:tcPr>
            <w:tcW w:type="dxa" w:w="2698"/>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Before the first hire</w:t>
            </w: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9</w:t>
            </w:r>
          </w:p>
        </w:tc>
        <w:tc>
          <w:tcPr>
            <w:tcW w:type="dxa" w:w="501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Health insurance arranged</w:t>
            </w:r>
          </w:p>
        </w:tc>
        <w:tc>
          <w:tcPr>
            <w:tcW w:type="dxa" w:w="2698"/>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Before visas</w:t>
            </w: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10</w:t>
            </w:r>
          </w:p>
        </w:tc>
        <w:tc>
          <w:tcPr>
            <w:tcW w:type="dxa" w:w="501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Data protection policy adopted — PDPL unless DIFC or ADGM</w:t>
            </w:r>
          </w:p>
        </w:tc>
        <w:tc>
          <w:tcPr>
            <w:tcW w:type="dxa" w:w="2698"/>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Month 1</w:t>
            </w: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11</w:t>
            </w:r>
          </w:p>
        </w:tc>
        <w:tc>
          <w:tcPr>
            <w:tcW w:type="dxa" w:w="501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Licence, card and facility renewal dates diarised</w:t>
            </w:r>
          </w:p>
        </w:tc>
        <w:tc>
          <w:tcPr>
            <w:tcW w:type="dxa" w:w="2698"/>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Month 1</w:t>
            </w: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12</w:t>
            </w:r>
          </w:p>
        </w:tc>
        <w:tc>
          <w:tcPr>
            <w:tcW w:type="dxa" w:w="501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Corporate records file opened</w:t>
            </w:r>
          </w:p>
        </w:tc>
        <w:tc>
          <w:tcPr>
            <w:tcW w:type="dxa" w:w="2698"/>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Month 1</w:t>
            </w: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r>
    </w:tbl>
    <w:p>
      <w:pPr>
        <w:keepNext/>
        <w:pageBreakBefore/>
        <w:spacing w:after="60" w:before="0"/>
      </w:pPr>
      <w:r>
        <w:rPr>
          <w:rFonts w:ascii="Calibri" w:cs="Calibri" w:eastAsia="Calibri" w:hAnsi="Calibri"/>
          <w:b/>
          <w:bCs/>
          <w:color w:val="14161B"/>
          <w:sz w:val="22"/>
          <w:szCs w:val="22"/>
        </w:rPr>
        <w:t xml:space="preserve">NOTES FOR USE</w:t>
      </w:r>
    </w:p>
    <w:p>
      <w:pPr>
        <w:pBdr>
          <w:bottom w:val="single" w:color="C9CCD3" w:sz="6" w:space="4"/>
        </w:pBdr>
        <w:spacing w:after="200"/>
      </w:pPr>
      <w:r>
        <w:rPr>
          <w:rFonts w:ascii="Calibri" w:cs="Calibri" w:eastAsia="Calibri" w:hAnsi="Calibri"/>
          <w:i/>
          <w:iCs/>
          <w:color w:val="6E7480"/>
          <w:sz w:val="17"/>
          <w:szCs w:val="17"/>
        </w:rPr>
        <w:t xml:space="preserve">Delete this page before execution. It is guidance, not part of the agreement.</w:t>
      </w:r>
    </w:p>
    <w:p>
      <w:pPr>
        <w:keepNext/>
        <w:spacing w:after="40" w:before="140"/>
      </w:pPr>
      <w:r>
        <w:rPr>
          <w:rFonts w:ascii="Calibri" w:cs="Calibri" w:eastAsia="Calibri" w:hAnsi="Calibri"/>
          <w:b/>
          <w:bCs/>
          <w:color w:val="14161B"/>
          <w:sz w:val="20"/>
          <w:szCs w:val="20"/>
        </w:rPr>
        <w:t xml:space="preserve">Choose the zone after the jurisdiction, not instead of it</w:t>
      </w:r>
    </w:p>
    <w:p>
      <w:pPr>
        <w:spacing w:after="60" w:line="264"/>
        <w:jc w:val="both"/>
      </w:pPr>
      <w:r>
        <w:rPr>
          <w:rFonts w:ascii="Calibri" w:cs="Calibri" w:eastAsia="Calibri" w:hAnsi="Calibri"/>
          <w:sz w:val="19"/>
          <w:szCs w:val="19"/>
        </w:rPr>
        <w:t xml:space="preserve">The mainland-versus-free-zone decision comes first and turns on where revenue is generated. Only then does zone selection matter. Companies that pick a zone on price and discover it does not licence their activity, or cannot support their headcount, have to start again.</w:t>
      </w:r>
    </w:p>
    <w:p>
      <w:pPr>
        <w:keepNext/>
        <w:spacing w:after="40" w:before="140"/>
      </w:pPr>
      <w:r>
        <w:rPr>
          <w:rFonts w:ascii="Calibri" w:cs="Calibri" w:eastAsia="Calibri" w:hAnsi="Calibri"/>
          <w:b/>
          <w:bCs/>
          <w:color w:val="14161B"/>
          <w:sz w:val="20"/>
          <w:szCs w:val="20"/>
        </w:rPr>
        <w:t xml:space="preserve">The activity list eliminates most zones immediately</w:t>
      </w:r>
    </w:p>
    <w:p>
      <w:pPr>
        <w:spacing w:after="60" w:line="264"/>
        <w:jc w:val="both"/>
      </w:pPr>
      <w:r>
        <w:rPr>
          <w:rFonts w:ascii="Calibri" w:cs="Calibri" w:eastAsia="Calibri" w:hAnsi="Calibri"/>
          <w:sz w:val="19"/>
          <w:szCs w:val="19"/>
        </w:rPr>
        <w:t xml:space="preserve">Zones licence different activities, and some are specialised by sector. Confirm in writing that the zone licences your exact activity before paying anything. A close-enough activity code produces visa refusals and regulator problems later.</w:t>
      </w:r>
    </w:p>
    <w:p>
      <w:pPr>
        <w:keepNext/>
        <w:spacing w:after="40" w:before="140"/>
      </w:pPr>
      <w:r>
        <w:rPr>
          <w:rFonts w:ascii="Calibri" w:cs="Calibri" w:eastAsia="Calibri" w:hAnsi="Calibri"/>
          <w:b/>
          <w:bCs/>
          <w:color w:val="14161B"/>
          <w:sz w:val="20"/>
          <w:szCs w:val="20"/>
        </w:rPr>
        <w:t xml:space="preserve">Visa quota is linked to the facility</w:t>
      </w:r>
    </w:p>
    <w:p>
      <w:pPr>
        <w:spacing w:after="60" w:line="264"/>
        <w:jc w:val="both"/>
      </w:pPr>
      <w:r>
        <w:rPr>
          <w:rFonts w:ascii="Calibri" w:cs="Calibri" w:eastAsia="Calibri" w:hAnsi="Calibri"/>
          <w:sz w:val="19"/>
          <w:szCs w:val="19"/>
        </w:rPr>
        <w:t xml:space="preserve">A flexi-desk carries a small quota. Growing past it means taking more space mid-term, often at a worse price than negotiating it at the outset. Model headcount for three years, not one.</w:t>
      </w:r>
    </w:p>
    <w:p>
      <w:pPr>
        <w:keepNext/>
        <w:spacing w:after="40" w:before="140"/>
      </w:pPr>
      <w:r>
        <w:rPr>
          <w:rFonts w:ascii="Calibri" w:cs="Calibri" w:eastAsia="Calibri" w:hAnsi="Calibri"/>
          <w:b/>
          <w:bCs/>
          <w:color w:val="14161B"/>
          <w:sz w:val="20"/>
          <w:szCs w:val="20"/>
        </w:rPr>
        <w:t xml:space="preserve">Free zone does not mean tax-free</w:t>
      </w:r>
    </w:p>
    <w:p>
      <w:pPr>
        <w:spacing w:after="60" w:line="264"/>
        <w:jc w:val="both"/>
      </w:pPr>
      <w:r>
        <w:rPr>
          <w:rFonts w:ascii="Calibri" w:cs="Calibri" w:eastAsia="Calibri" w:hAnsi="Calibri"/>
          <w:sz w:val="19"/>
          <w:szCs w:val="19"/>
        </w:rPr>
        <w:t xml:space="preserve">The 0% corporate tax rate is conditional on Qualifying Free Zone Person status — substance in the zone, qualifying income, transfer pricing compliance, no election out, and audited financial statements. A free zone entity failing any condition pays 9% on all income.</w:t>
      </w:r>
    </w:p>
    <w:p>
      <w:pPr>
        <w:keepNext/>
        <w:spacing w:after="40" w:before="140"/>
      </w:pPr>
      <w:r>
        <w:rPr>
          <w:rFonts w:ascii="Calibri" w:cs="Calibri" w:eastAsia="Calibri" w:hAnsi="Calibri"/>
          <w:b/>
          <w:bCs/>
          <w:color w:val="14161B"/>
          <w:sz w:val="20"/>
          <w:szCs w:val="20"/>
        </w:rPr>
        <w:t xml:space="preserve">Mainland customers are the recurring problem</w:t>
      </w:r>
    </w:p>
    <w:p>
      <w:pPr>
        <w:spacing w:after="60" w:line="264"/>
        <w:jc w:val="both"/>
      </w:pPr>
      <w:r>
        <w:rPr>
          <w:rFonts w:ascii="Calibri" w:cs="Calibri" w:eastAsia="Calibri" w:hAnsi="Calibri"/>
          <w:sz w:val="19"/>
          <w:szCs w:val="19"/>
        </w:rPr>
        <w:t xml:space="preserve">Serving mainland clients directly is restricted, and the income is non-qualifying for corporate tax. With a de minimis of the lower of AED 5,000,000 or 5% of revenue, a modest amount of mainland work can cost the 0% rate for five tax periods. Decide how mainland business will be handled before the first such invoice.</w:t>
      </w:r>
    </w:p>
    <w:p>
      <w:pPr>
        <w:keepNext/>
        <w:spacing w:after="40" w:before="140"/>
      </w:pPr>
      <w:r>
        <w:rPr>
          <w:rFonts w:ascii="Calibri" w:cs="Calibri" w:eastAsia="Calibri" w:hAnsi="Calibri"/>
          <w:b/>
          <w:bCs/>
          <w:color w:val="14161B"/>
          <w:sz w:val="20"/>
          <w:szCs w:val="20"/>
        </w:rPr>
        <w:t xml:space="preserve">Designated zone is a VAT concept, not a tax one</w:t>
      </w:r>
    </w:p>
    <w:p>
      <w:pPr>
        <w:spacing w:after="60" w:line="264"/>
        <w:jc w:val="both"/>
      </w:pPr>
      <w:r>
        <w:rPr>
          <w:rFonts w:ascii="Calibri" w:cs="Calibri" w:eastAsia="Calibri" w:hAnsi="Calibri"/>
          <w:sz w:val="19"/>
          <w:szCs w:val="19"/>
        </w:rPr>
        <w:t xml:space="preserve">Designation affects the VAT treatment of goods in defined circumstances. Services attract 5% VAT regardless. And the VAT designated zone list has no bearing on the corporate tax qualifying income analysis — two separate regimes, two separate lists.</w:t>
      </w:r>
    </w:p>
    <w:p>
      <w:pPr>
        <w:keepNext/>
        <w:spacing w:after="40" w:before="140"/>
      </w:pPr>
      <w:r>
        <w:rPr>
          <w:rFonts w:ascii="Calibri" w:cs="Calibri" w:eastAsia="Calibri" w:hAnsi="Calibri"/>
          <w:b/>
          <w:bCs/>
          <w:color w:val="14161B"/>
          <w:sz w:val="20"/>
          <w:szCs w:val="20"/>
        </w:rPr>
        <w:t xml:space="preserve">Ask whether the federal labour law applies in full</w:t>
      </w:r>
    </w:p>
    <w:p>
      <w:pPr>
        <w:spacing w:after="60" w:line="264"/>
        <w:jc w:val="both"/>
      </w:pPr>
      <w:r>
        <w:rPr>
          <w:rFonts w:ascii="Calibri" w:cs="Calibri" w:eastAsia="Calibri" w:hAnsi="Calibri"/>
          <w:sz w:val="19"/>
          <w:szCs w:val="19"/>
        </w:rPr>
        <w:t xml:space="preserve">Most free zones apply Federal Decree-Law 33/2021 with the zone administering it, but the position varies, and DIFC and ADGM have entirely separate employment codes. This determines which employment templates apply, and it is the question nobody asks at licensing.</w:t>
      </w:r>
    </w:p>
    <w:p>
      <w:pPr>
        <w:keepNext/>
        <w:spacing w:after="40" w:before="140"/>
      </w:pPr>
      <w:r>
        <w:rPr>
          <w:rFonts w:ascii="Calibri" w:cs="Calibri" w:eastAsia="Calibri" w:hAnsi="Calibri"/>
          <w:b/>
          <w:bCs/>
          <w:color w:val="14161B"/>
          <w:sz w:val="20"/>
          <w:szCs w:val="20"/>
        </w:rPr>
        <w:t xml:space="preserve">Compare renewal cost, not the first-year offer</w:t>
      </w:r>
    </w:p>
    <w:p>
      <w:pPr>
        <w:spacing w:after="60" w:line="264"/>
        <w:jc w:val="both"/>
      </w:pPr>
      <w:r>
        <w:rPr>
          <w:rFonts w:ascii="Calibri" w:cs="Calibri" w:eastAsia="Calibri" w:hAnsi="Calibri"/>
          <w:sz w:val="19"/>
          <w:szCs w:val="19"/>
        </w:rPr>
        <w:t xml:space="preserve">Introductory pricing is common and renewal is where the real cost sits. Ask for the year-two and year-three figures in writing, including facility, licence, establishment card and per-visa costs.</w:t>
      </w:r>
    </w:p>
    <w:p>
      <w:pPr>
        <w:keepNext/>
        <w:spacing w:after="40" w:before="140"/>
      </w:pPr>
      <w:r>
        <w:rPr>
          <w:rFonts w:ascii="Calibri" w:cs="Calibri" w:eastAsia="Calibri" w:hAnsi="Calibri"/>
          <w:b/>
          <w:bCs/>
          <w:color w:val="14161B"/>
          <w:sz w:val="20"/>
          <w:szCs w:val="20"/>
        </w:rPr>
        <w:t xml:space="preserve">Banking difficulty varies by zone</w:t>
      </w:r>
    </w:p>
    <w:p>
      <w:pPr>
        <w:spacing w:after="60" w:line="264"/>
        <w:jc w:val="both"/>
      </w:pPr>
      <w:r>
        <w:rPr>
          <w:rFonts w:ascii="Calibri" w:cs="Calibri" w:eastAsia="Calibri" w:hAnsi="Calibri"/>
          <w:sz w:val="19"/>
          <w:szCs w:val="19"/>
        </w:rPr>
        <w:t xml:space="preserve">Some zones are straightforward for corporate account opening and others are treated with caution by banks. Ask which banks actively onboard from the zone before committing, because the account is on the critical path for WPS and therefore for paying anyone.</w:t>
      </w:r>
    </w:p>
    <w:p>
      <w:pPr>
        <w:keepNext/>
        <w:spacing w:after="40" w:before="140"/>
      </w:pPr>
      <w:r>
        <w:rPr>
          <w:rFonts w:ascii="Calibri" w:cs="Calibri" w:eastAsia="Calibri" w:hAnsi="Calibri"/>
          <w:b/>
          <w:bCs/>
          <w:color w:val="14161B"/>
          <w:sz w:val="20"/>
          <w:szCs w:val="20"/>
        </w:rPr>
        <w:t xml:space="preserve">Attestation of foreign documents still applies</w:t>
      </w:r>
    </w:p>
    <w:p>
      <w:pPr>
        <w:spacing w:after="60" w:line="264"/>
        <w:jc w:val="both"/>
      </w:pPr>
      <w:r>
        <w:rPr>
          <w:rFonts w:ascii="Calibri" w:cs="Calibri" w:eastAsia="Calibri" w:hAnsi="Calibri"/>
          <w:sz w:val="19"/>
          <w:szCs w:val="19"/>
        </w:rPr>
        <w:t xml:space="preserve">Corporate shareholder documents from abroad need attestation and legalisation exactly as for a mainland incorporation. This is the usual cause of delay and should start before anything else.</w:t>
      </w:r>
    </w:p>
    <w:p>
      <w:pPr>
        <w:keepNext/>
        <w:spacing w:after="40" w:before="140"/>
      </w:pPr>
      <w:r>
        <w:rPr>
          <w:rFonts w:ascii="Calibri" w:cs="Calibri" w:eastAsia="Calibri" w:hAnsi="Calibri"/>
          <w:b/>
          <w:bCs/>
          <w:color w:val="14161B"/>
          <w:sz w:val="20"/>
          <w:szCs w:val="20"/>
        </w:rPr>
        <w:t xml:space="preserve">Audited accounts may be needed twice over</w:t>
      </w:r>
    </w:p>
    <w:p>
      <w:pPr>
        <w:spacing w:after="60" w:line="264"/>
        <w:jc w:val="both"/>
      </w:pPr>
      <w:r>
        <w:rPr>
          <w:rFonts w:ascii="Calibri" w:cs="Calibri" w:eastAsia="Calibri" w:hAnsi="Calibri"/>
          <w:sz w:val="19"/>
          <w:szCs w:val="19"/>
        </w:rPr>
        <w:t xml:space="preserve">Some zones require audited financial statements as a licensing condition, and a Qualifying Free Zone Person requires them for the corporate tax position under current rules. Budget for an audit even where the zone does not demand one.</w:t>
      </w:r>
    </w:p>
    <w:p>
      <w:pPr>
        <w:keepNext/>
        <w:spacing w:after="40" w:before="140"/>
      </w:pPr>
      <w:r>
        <w:rPr>
          <w:rFonts w:ascii="Calibri" w:cs="Calibri" w:eastAsia="Calibri" w:hAnsi="Calibri"/>
          <w:b/>
          <w:bCs/>
          <w:color w:val="14161B"/>
          <w:sz w:val="20"/>
          <w:szCs w:val="20"/>
        </w:rPr>
        <w:t xml:space="preserve">UBO filing is a zone obligation too</w:t>
      </w:r>
    </w:p>
    <w:p>
      <w:pPr>
        <w:spacing w:after="60" w:line="264"/>
        <w:jc w:val="both"/>
      </w:pPr>
      <w:r>
        <w:rPr>
          <w:rFonts w:ascii="Calibri" w:cs="Calibri" w:eastAsia="Calibri" w:hAnsi="Calibri"/>
          <w:sz w:val="19"/>
          <w:szCs w:val="19"/>
        </w:rPr>
        <w:t xml:space="preserve">The register must be filed with the zone authority and kept current as ownership changes. It is checked in banking and due diligence and is frequently set up once and never updated.</w:t>
      </w:r>
    </w:p>
    <w:p>
      <w:pPr>
        <w:keepNext/>
        <w:spacing w:after="40" w:before="140"/>
      </w:pPr>
      <w:r>
        <w:rPr>
          <w:rFonts w:ascii="Calibri" w:cs="Calibri" w:eastAsia="Calibri" w:hAnsi="Calibri"/>
          <w:b/>
          <w:bCs/>
          <w:color w:val="14161B"/>
          <w:sz w:val="20"/>
          <w:szCs w:val="20"/>
        </w:rPr>
        <w:t xml:space="preserve">Branch versus subsidiary</w:t>
      </w:r>
    </w:p>
    <w:p>
      <w:pPr>
        <w:spacing w:after="60" w:line="264"/>
        <w:jc w:val="both"/>
      </w:pPr>
      <w:r>
        <w:rPr>
          <w:rFonts w:ascii="Calibri" w:cs="Calibri" w:eastAsia="Calibri" w:hAnsi="Calibri"/>
          <w:sz w:val="19"/>
          <w:szCs w:val="19"/>
        </w:rPr>
        <w:t xml:space="preserve">A free zone branch of an existing company is not a separate legal entity — the parent remains liable for everything it does. A separate FZE or FZCO ring-fences liability. Choose deliberately rather than by whichever the zone quotes first.</w:t>
      </w:r>
    </w:p>
    <w:p>
      <w:pPr>
        <w:keepNext/>
        <w:spacing w:after="40" w:before="140"/>
      </w:pPr>
      <w:r>
        <w:rPr>
          <w:rFonts w:ascii="Calibri" w:cs="Calibri" w:eastAsia="Calibri" w:hAnsi="Calibri"/>
          <w:b/>
          <w:bCs/>
          <w:color w:val="14161B"/>
          <w:sz w:val="20"/>
          <w:szCs w:val="20"/>
        </w:rPr>
        <w:t xml:space="preserve">Redomiciliation reduces the cost of a wrong choice</w:t>
      </w:r>
    </w:p>
    <w:p>
      <w:pPr>
        <w:spacing w:after="60" w:line="264"/>
        <w:jc w:val="both"/>
      </w:pPr>
      <w:r>
        <w:rPr>
          <w:rFonts w:ascii="Calibri" w:cs="Calibri" w:eastAsia="Calibri" w:hAnsi="Calibri"/>
          <w:sz w:val="19"/>
          <w:szCs w:val="19"/>
        </w:rPr>
        <w:t xml:space="preserve">Recent amendments to the Commercial Companies Law introduced a mechanism to move a company’s registration between authorities, including between free zones and the mainland. It is a process with approvals rather than a switch, but it means the initial choice is no longer permanent.</w:t>
      </w:r>
    </w:p>
    <w:p>
      <w:pPr>
        <w:keepNext/>
        <w:spacing w:after="40" w:before="140"/>
      </w:pPr>
      <w:r>
        <w:rPr>
          <w:rFonts w:ascii="Calibri" w:cs="Calibri" w:eastAsia="Calibri" w:hAnsi="Calibri"/>
          <w:b/>
          <w:bCs/>
          <w:color w:val="14161B"/>
          <w:sz w:val="20"/>
          <w:szCs w:val="20"/>
        </w:rPr>
        <w:t xml:space="preserve">Current as of</w:t>
      </w:r>
    </w:p>
    <w:p>
      <w:pPr>
        <w:spacing w:after="60" w:line="264"/>
        <w:jc w:val="both"/>
      </w:pPr>
      <w:r>
        <w:rPr>
          <w:rFonts w:ascii="Calibri" w:cs="Calibri" w:eastAsia="Calibri" w:hAnsi="Calibri"/>
          <w:sz w:val="19"/>
          <w:szCs w:val="19"/>
        </w:rPr>
        <w:t xml:space="preserve">Reflects UAE law and free zone practice current as of </w:t>
      </w:r>
      <w:r>
        <w:rPr>
          <w:rFonts w:ascii="Calibri" w:cs="Calibri" w:eastAsia="Calibri" w:hAnsi="Calibri"/>
          <w:b/>
          <w:bCs/>
          <w:sz w:val="19"/>
          <w:szCs w:val="19"/>
        </w:rPr>
        <w:t xml:space="preserve">[DATE OF USE]</w:t>
      </w:r>
      <w:r>
        <w:rPr>
          <w:rFonts w:ascii="Calibri" w:cs="Calibri" w:eastAsia="Calibri" w:hAnsi="Calibri"/>
          <w:sz w:val="19"/>
          <w:szCs w:val="19"/>
        </w:rPr>
        <w:t xml:space="preserve">. Zone rules, activity lists, packages, audit requirements, designated zone status and corporate tax conditions all change and differ between zones — confirm directly with the zone authority and take tax advice on the QFZP position before relying on the 0% rate.</w:t>
      </w:r>
    </w:p>
    <w:sectPr>
      <w:headerReference w:type="default" r:id="rId7"/>
      <w:headerReference w:type="first" r:id="rId8"/>
      <w:footerReference w:type="default" r:id="rId9"/>
      <w:footerReference w:type="first" r:id="rId10"/>
      <w:pgSz w:w="11906" w:h="16838" w:orient="portrait"/>
      <w:pgMar w:top="1080" w:right="1134" w:bottom="1080" w:left="1134" w:header="708" w:footer="708" w:gutter="0"/>
      <w:pgNumType/>
      <w:titlePg/>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C9CCD3" w:sz="6" w:space="6"/>
      </w:pBdr>
      <w:spacing w:after="200"/>
      <w:jc w:val="center"/>
    </w:pPr>
    <w:r>
      <w:rPr>
        <w:rFonts w:ascii="Calibri" w:cs="Calibri" w:eastAsia="Calibri" w:hAnsi="Calibri"/>
        <w:i/>
        <w:iCs/>
        <w:color w:val="6E7480"/>
        <w:sz w:val="17"/>
        <w:szCs w:val="17"/>
      </w:rPr>
      <w:t xml:space="preserve">[HEADER — replace with your organisation's letterhead, if used]</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4161B"/>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er2.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word/_rels/header2.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Helion ERP</dc:creator>
  <dc:description>Template generated from www.helionerp.com</dc:description>
  <cp:lastModifiedBy>Un-named</cp:lastModifiedBy>
  <cp:revision>1</cp:revision>
  <dcterms:created xsi:type="dcterms:W3CDTF">2026-08-23T16:28:33.780Z</dcterms:created>
  <dcterms:modified xsi:type="dcterms:W3CDTF">2026-08-23T16:28:33.780Z</dcterms:modified>
</cp:coreProperties>
</file>

<file path=docProps/custom.xml><?xml version="1.0" encoding="utf-8"?>
<Properties xmlns="http://schemas.openxmlformats.org/officeDocument/2006/custom-properties" xmlns:vt="http://schemas.openxmlformats.org/officeDocument/2006/docPropsVTypes"/>
</file>