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FREE ZONE EMPLOYMENT</w:t>
      </w:r>
    </w:p>
    <w:p>
      <w:pPr>
        <w:spacing w:after="260"/>
        <w:jc w:val="center"/>
      </w:pPr>
      <w:r>
        <w:rPr>
          <w:rFonts w:ascii="Calibri" w:cs="Calibri" w:eastAsia="Calibri" w:hAnsi="Calibri"/>
          <w:i/>
          <w:iCs/>
          <w:color w:val="6E7480"/>
          <w:sz w:val="19"/>
          <w:szCs w:val="19"/>
        </w:rPr>
        <w:t xml:space="preserve">Contracts, permits and where the zone differs</w:t>
      </w:r>
    </w:p>
    <w:p>
      <w:pPr>
        <w:spacing w:after="180" w:before="0" w:line="276"/>
        <w:jc w:val="both"/>
      </w:pPr>
      <w:r>
        <w:rPr>
          <w:rFonts w:ascii="Calibri" w:cs="Calibri" w:eastAsia="Calibri" w:hAnsi="Calibri"/>
          <w:i/>
          <w:iCs/>
          <w:color w:val="6E7480"/>
          <w:sz w:val="21"/>
          <w:szCs w:val="21"/>
        </w:rPr>
        <w:t xml:space="preserve">The question nobody asks at licensing: </w:t>
      </w:r>
      <w:r>
        <w:rPr>
          <w:rFonts w:ascii="Calibri" w:cs="Calibri" w:eastAsia="Calibri" w:hAnsi="Calibri"/>
          <w:b/>
          <w:bCs/>
          <w:i/>
          <w:iCs/>
          <w:color w:val="6E7480"/>
          <w:sz w:val="21"/>
          <w:szCs w:val="21"/>
        </w:rPr>
        <w:t xml:space="preserve">does the federal labour law apply in full in your zone?</w:t>
      </w:r>
      <w:r>
        <w:rPr>
          <w:rFonts w:ascii="Calibri" w:cs="Calibri" w:eastAsia="Calibri" w:hAnsi="Calibri"/>
          <w:i/>
          <w:iCs/>
          <w:color w:val="6E7480"/>
          <w:sz w:val="21"/>
          <w:szCs w:val="21"/>
        </w:rPr>
        <w:t xml:space="preserve"> Most non-financial free zones apply Federal Decree-Law 33/2021 with the zone administering it, but the position varies, and DIFC and ADGM have their own codes entirely. Confirm with the zone before drafting anything.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[zone]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Free zone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Federal labour law applies in full?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confirmed with the zone on ______]</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Employment authority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zone authority]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Job title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[TITLE]</w:t>
            </w:r>
            <w:r>
              <w:rPr>
                <w:rFonts w:ascii="Calibri" w:cs="Calibri" w:eastAsia="Calibri" w:hAnsi="Calibri"/>
                <w:sz w:val="19"/>
                <w:szCs w:val="19"/>
              </w:rPr>
              <w:t xml:space="preserve"> — must match the licence and the permit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Contract 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[Fixed term — confirm the zone position]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Basic salary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 the gratuity base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Total salary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End of service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[Gratuity 21/30 days / Zone scheme — confirm]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WPS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[Through the zone arrangement]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Emiratisation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[Generally not applicable — confirm]</w:t>
            </w:r>
          </w:p>
        </w:tc>
      </w:tr>
    </w:tbl>
    <w:p>
      <w:pPr>
        <w:spacing w:after="180"/>
      </w:pPr>
    </w:p>
    <w:p>
      <w:pPr>
        <w:keepNext/>
        <w:spacing w:after="120" w:before="280"/>
        <w:outlineLvl w:val="0"/>
      </w:pPr>
      <w:r>
        <w:rPr>
          <w:rFonts w:ascii="Calibri" w:cs="Calibri" w:eastAsia="Calibri" w:hAnsi="Calibri"/>
          <w:b/>
          <w:bCs/>
          <w:color w:val="14161B"/>
          <w:sz w:val="22"/>
          <w:szCs w:val="22"/>
        </w:rPr>
        <w:t xml:space="preserve">1. ESTABLISH THE ZONE POSITION FIRST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6361"/>
        <w:gridCol w:w="2892"/>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636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 for the zone authority</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Answer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Does Federal Decree-Law 33/2021 apply in full, or does the zone have its own regulations?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zone’s own employment contract template mandatory?</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Must contracts be registered with the zone, and by when?</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contracts fixed term only, or is indefinite permitted?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is the maximum probation period?</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notice periods apply?</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 end of service gratuity accrued, or is there a funded scheme?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are the leave entitlements?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WPS administered by the zone, and what are the deadlines?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Emiratisation apply?</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[Generally no — confirm]</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ILOE mandatory or optional?</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636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How are disputes handled — zone, MOHRE, or courts?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Get these answers in writing before drafting. A mainland contract used in a zone with its own regulations is wrong on notice, probation, leave and end of service simultaneously.</w:t>
      </w:r>
    </w:p>
    <w:p>
      <w:pPr>
        <w:keepNext/>
        <w:spacing w:after="120" w:before="280"/>
        <w:outlineLvl w:val="0"/>
      </w:pPr>
      <w:r>
        <w:rPr>
          <w:rFonts w:ascii="Calibri" w:cs="Calibri" w:eastAsia="Calibri" w:hAnsi="Calibri"/>
          <w:b/>
          <w:bCs/>
          <w:color w:val="14161B"/>
          <w:sz w:val="22"/>
          <w:szCs w:val="22"/>
        </w:rPr>
        <w:t xml:space="preserve">2. WHERE ZONES USUALLY DIFFER FROM THE MAINLAND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276"/>
        <w:gridCol w:w="4049"/>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Mainland</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Typical free zone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law</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Decree-Law 33/2021</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Usually the same, administered by the zone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Registering authority</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zone authority</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permit issuer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zone authority</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 template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 standard form</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[Zone template, often mandatory]</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Emiratisation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Applies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Generally does not apply</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ILOE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Mandatory</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WPS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 system</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Zone arrangement</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Visa sponsorship</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Via the establishment file</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Via the zone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Disputes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MOHRE then courts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[Zone process, then courts]</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End of service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Gratuity 21/30 days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[Usually the same — confirm]</w:t>
            </w:r>
          </w:p>
        </w:tc>
      </w:tr>
    </w:tbl>
    <w:p>
      <w:pPr>
        <w:keepNext/>
        <w:spacing w:after="120" w:before="280"/>
        <w:outlineLvl w:val="0"/>
      </w:pPr>
      <w:r>
        <w:rPr>
          <w:rFonts w:ascii="Calibri" w:cs="Calibri" w:eastAsia="Calibri" w:hAnsi="Calibri"/>
          <w:b/>
          <w:bCs/>
          <w:color w:val="14161B"/>
          <w:sz w:val="22"/>
          <w:szCs w:val="22"/>
        </w:rPr>
        <w:t xml:space="preserve">3. CONTRACT TERMS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Employee is engaged as </w:t>
      </w:r>
      <w:r>
        <w:rPr>
          <w:rFonts w:ascii="Calibri" w:cs="Calibri" w:eastAsia="Calibri" w:hAnsi="Calibri"/>
          <w:b/>
          <w:bCs/>
          <w:sz w:val="21"/>
          <w:szCs w:val="21"/>
        </w:rPr>
        <w:t xml:space="preserve">[JOB TITLE]</w:t>
      </w:r>
      <w:r>
        <w:rPr>
          <w:rFonts w:ascii="Calibri" w:cs="Calibri" w:eastAsia="Calibri" w:hAnsi="Calibri"/>
          <w:sz w:val="21"/>
          <w:szCs w:val="21"/>
        </w:rPr>
        <w:t xml:space="preserve"> from </w:t>
      </w:r>
      <w:r>
        <w:rPr>
          <w:rFonts w:ascii="Calibri" w:cs="Calibri" w:eastAsia="Calibri" w:hAnsi="Calibri"/>
          <w:b/>
          <w:bCs/>
          <w:sz w:val="21"/>
          <w:szCs w:val="21"/>
        </w:rPr>
        <w:t xml:space="preserve">[DATE]</w:t>
      </w:r>
      <w:r>
        <w:rPr>
          <w:rFonts w:ascii="Calibri" w:cs="Calibri" w:eastAsia="Calibri" w:hAnsi="Calibri"/>
          <w:sz w:val="21"/>
          <w:szCs w:val="21"/>
        </w:rPr>
        <w:t xml:space="preserve">, on the terms of the zone-registered contract and this agreement.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Where the zone requires its own contract template, that template is the operative document and </w:t>
      </w:r>
      <w:r>
        <w:rPr>
          <w:rFonts w:ascii="Calibri" w:cs="Calibri" w:eastAsia="Calibri" w:hAnsi="Calibri"/>
          <w:b/>
          <w:bCs/>
          <w:sz w:val="21"/>
          <w:szCs w:val="21"/>
        </w:rPr>
        <w:t xml:space="preserve">this agreement supplements it without contradicting it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Working hours are </w:t>
      </w:r>
      <w:r>
        <w:rPr>
          <w:rFonts w:ascii="Calibri" w:cs="Calibri" w:eastAsia="Calibri" w:hAnsi="Calibri"/>
          <w:b/>
          <w:bCs/>
          <w:sz w:val="21"/>
          <w:szCs w:val="21"/>
        </w:rPr>
        <w:t xml:space="preserve">8 hours per day, 48 per week</w:t>
      </w:r>
      <w:r>
        <w:rPr>
          <w:rFonts w:ascii="Calibri" w:cs="Calibri" w:eastAsia="Calibri" w:hAnsi="Calibri"/>
          <w:sz w:val="21"/>
          <w:szCs w:val="21"/>
        </w:rPr>
        <w:t xml:space="preserve">, with Ramadan reduction for fasting employees, subject to the zone position.</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Salary is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total, of which basic is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paid monthly through the applicable </w:t>
      </w:r>
      <w:r>
        <w:rPr>
          <w:rFonts w:ascii="Calibri" w:cs="Calibri" w:eastAsia="Calibri" w:hAnsi="Calibri"/>
          <w:b/>
          <w:bCs/>
          <w:sz w:val="21"/>
          <w:szCs w:val="21"/>
        </w:rPr>
        <w:t xml:space="preserve">WPS</w:t>
      </w:r>
      <w:r>
        <w:rPr>
          <w:rFonts w:ascii="Calibri" w:cs="Calibri" w:eastAsia="Calibri" w:hAnsi="Calibri"/>
          <w:sz w:val="21"/>
          <w:szCs w:val="21"/>
        </w:rPr>
        <w:t xml:space="preserve"> arrangement.</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Leave entitlements are as set out in the applicable regulations — </w:t>
      </w:r>
      <w:r>
        <w:rPr>
          <w:rFonts w:ascii="Calibri" w:cs="Calibri" w:eastAsia="Calibri" w:hAnsi="Calibri"/>
          <w:b/>
          <w:bCs/>
          <w:sz w:val="21"/>
          <w:szCs w:val="21"/>
        </w:rPr>
        <w:t xml:space="preserve">[30]</w:t>
      </w:r>
      <w:r>
        <w:rPr>
          <w:rFonts w:ascii="Calibri" w:cs="Calibri" w:eastAsia="Calibri" w:hAnsi="Calibri"/>
          <w:sz w:val="21"/>
          <w:szCs w:val="21"/>
        </w:rPr>
        <w:t xml:space="preserve"> calendar days annual leave, sick leave on the statutory scale, maternity and parental leave as provided.</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Notice is </w:t>
      </w:r>
      <w:r>
        <w:rPr>
          <w:rFonts w:ascii="Calibri" w:cs="Calibri" w:eastAsia="Calibri" w:hAnsi="Calibri"/>
          <w:b/>
          <w:bCs/>
          <w:sz w:val="21"/>
          <w:szCs w:val="21"/>
        </w:rPr>
        <w:t xml:space="preserve">[PERIOD]</w:t>
      </w:r>
      <w:r>
        <w:rPr>
          <w:rFonts w:ascii="Calibri" w:cs="Calibri" w:eastAsia="Calibri" w:hAnsi="Calibri"/>
          <w:sz w:val="21"/>
          <w:szCs w:val="21"/>
        </w:rPr>
        <w:t xml:space="preserve">, subject to the zone position.</w:t>
      </w:r>
    </w:p>
    <w:p>
      <w:pPr>
        <w:spacing w:after="120" w:before="60" w:line="276"/>
        <w:ind w:left="720" w:hanging="720"/>
        <w:jc w:val="both"/>
      </w:pPr>
      <w:r>
        <w:rPr>
          <w:rFonts w:ascii="Calibri" w:cs="Calibri" w:eastAsia="Calibri" w:hAnsi="Calibri"/>
          <w:sz w:val="21"/>
          <w:szCs w:val="21"/>
        </w:rPr>
        <w:t xml:space="preserve">3.7	</w:t>
      </w:r>
      <w:r>
        <w:rPr>
          <w:rFonts w:ascii="Calibri" w:cs="Calibri" w:eastAsia="Calibri" w:hAnsi="Calibri"/>
          <w:sz w:val="21"/>
          <w:szCs w:val="21"/>
        </w:rPr>
        <w:t xml:space="preserve">The Employer shall obtain and maintain the work permit and residence visa at its own cost, provide health insurance, and shall not retain the Employee’s passport.</w:t>
      </w:r>
    </w:p>
    <w:p>
      <w:pPr>
        <w:spacing w:after="120" w:before="60" w:line="276"/>
        <w:ind w:left="720" w:hanging="720"/>
        <w:jc w:val="both"/>
      </w:pPr>
      <w:r>
        <w:rPr>
          <w:rFonts w:ascii="Calibri" w:cs="Calibri" w:eastAsia="Calibri" w:hAnsi="Calibri"/>
          <w:sz w:val="21"/>
          <w:szCs w:val="21"/>
        </w:rPr>
        <w:t xml:space="preserve">3.8	</w:t>
      </w:r>
      <w:r>
        <w:rPr>
          <w:rFonts w:ascii="Calibri" w:cs="Calibri" w:eastAsia="Calibri" w:hAnsi="Calibri"/>
          <w:sz w:val="21"/>
          <w:szCs w:val="21"/>
        </w:rPr>
        <w:t xml:space="preserve">End of service entitlement is </w:t>
      </w:r>
      <w:r>
        <w:rPr>
          <w:rFonts w:ascii="Calibri" w:cs="Calibri" w:eastAsia="Calibri" w:hAnsi="Calibri"/>
          <w:b/>
          <w:bCs/>
          <w:sz w:val="21"/>
          <w:szCs w:val="21"/>
        </w:rPr>
        <w:t xml:space="preserve">[gratuity at 21 days per year for the first five years and 30 days thereafter on basic salary, capped at two years’ total salary / the zone scheme]</w:t>
      </w:r>
      <w:r>
        <w:rPr>
          <w:rFonts w:ascii="Calibri" w:cs="Calibri" w:eastAsia="Calibri" w:hAnsi="Calibri"/>
          <w:sz w:val="21"/>
          <w:szCs w:val="21"/>
        </w:rPr>
        <w:t xml:space="preserv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WHAT STAYS THE SAME EVERYWHERE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Obligation</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 bears permit, visa, medical and Emirates ID costs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Cannot be recovered from the employee in any jurisdiction</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 retention of passports</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Prohibited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Health insurance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Required for visa issuance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Wages through a WPS arrangement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Mechanism differs; the obligation does not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Settlement within 14 days of the last working day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the zone position, but expect the same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Work injury reporting and insurance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Applies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Midday work ban for outdoor work</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federal safety requirement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Data protection</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PDPL unless DIFC or ADGM</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Non-discrimination and anti-harassment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Applies</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Employers sometimes treat a free zone as a lighter regulatory environment for employment. It is lighter on Emiratisation and on some administration. It is not lighter on employee entitlements, safety, wage payment or immigration compliance.</w:t>
      </w:r>
    </w:p>
    <w:p>
      <w:pPr>
        <w:keepNext/>
        <w:spacing w:after="120" w:before="280"/>
        <w:outlineLvl w:val="0"/>
      </w:pPr>
      <w:r>
        <w:rPr>
          <w:rFonts w:ascii="Calibri" w:cs="Calibri" w:eastAsia="Calibri" w:hAnsi="Calibri"/>
          <w:b/>
          <w:bCs/>
          <w:color w:val="14161B"/>
          <w:sz w:val="22"/>
          <w:szCs w:val="22"/>
        </w:rPr>
        <w:t xml:space="preserve">5. SETUP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Zone employment position confirmed in writing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Visa quota confirmed against the facility taken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Job title matches the licence and the permit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Zone employment contract prepared on the required template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Supplementary agreement prepared — confidentiality, IP, restrictions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 registered with the zone within the required period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Work permit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Entry permit, medical, Emirates ID, residence visa completed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Health insurance arranged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WPS arrangement set up through the zone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Gratuity or scheme accrual started on the correct basis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Handbook and policies drafted for the zone regime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protection policy adopted — federal PDPL unless DIFC or ADGM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Expiry dates diarised with six-month reminders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[EMPLOYEE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Passport: </w:t>
            </w:r>
            <w:r>
              <w:rPr>
                <w:rFonts w:ascii="Calibri" w:cs="Calibri" w:eastAsia="Calibri" w:hAnsi="Calibri"/>
                <w:b/>
                <w:bCs/>
                <w:sz w:val="21"/>
                <w:szCs w:val="21"/>
              </w:rPr>
              <w:t xml:space="preserve">[NUMBER]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Ask the zone whether the federal law applies in full</w:t>
      </w:r>
    </w:p>
    <w:p>
      <w:pPr>
        <w:spacing w:after="60" w:line="264"/>
        <w:jc w:val="both"/>
      </w:pPr>
      <w:r>
        <w:rPr>
          <w:rFonts w:ascii="Calibri" w:cs="Calibri" w:eastAsia="Calibri" w:hAnsi="Calibri"/>
          <w:sz w:val="19"/>
          <w:szCs w:val="19"/>
        </w:rPr>
        <w:t xml:space="preserve">Most non-financial free zones apply Federal Decree-Law 33/2021 with the zone administering it, but the position varies, and DIFC and ADGM operate entirely separate employment codes. This is the question nobody asks at licensing and it determines which contract, which notice periods, which leave entitlements and which end-of-service mechanism apply. Get the answer in writing.</w:t>
      </w:r>
    </w:p>
    <w:p>
      <w:pPr>
        <w:keepNext/>
        <w:spacing w:after="40" w:before="140"/>
      </w:pPr>
      <w:r>
        <w:rPr>
          <w:rFonts w:ascii="Calibri" w:cs="Calibri" w:eastAsia="Calibri" w:hAnsi="Calibri"/>
          <w:b/>
          <w:bCs/>
          <w:color w:val="14161B"/>
          <w:sz w:val="20"/>
          <w:szCs w:val="20"/>
        </w:rPr>
        <w:t xml:space="preserve">Use the zone template where it is mandatory</w:t>
      </w:r>
    </w:p>
    <w:p>
      <w:pPr>
        <w:spacing w:after="60" w:line="264"/>
        <w:jc w:val="both"/>
      </w:pPr>
      <w:r>
        <w:rPr>
          <w:rFonts w:ascii="Calibri" w:cs="Calibri" w:eastAsia="Calibri" w:hAnsi="Calibri"/>
          <w:sz w:val="19"/>
          <w:szCs w:val="19"/>
        </w:rPr>
        <w:t xml:space="preserve">Many zones require their own employment contract form, registered with the zone. Where that applies, it is the operative document and your supplementary agreement adds to it without contradicting it — exactly as a supplementary agreement sits alongside a MOHRE contract on the mainland.</w:t>
      </w:r>
    </w:p>
    <w:p>
      <w:pPr>
        <w:keepNext/>
        <w:spacing w:after="40" w:before="140"/>
      </w:pPr>
      <w:r>
        <w:rPr>
          <w:rFonts w:ascii="Calibri" w:cs="Calibri" w:eastAsia="Calibri" w:hAnsi="Calibri"/>
          <w:b/>
          <w:bCs/>
          <w:color w:val="14161B"/>
          <w:sz w:val="20"/>
          <w:szCs w:val="20"/>
        </w:rPr>
        <w:t xml:space="preserve">A mainland contract in a zone is wrong in several places at once</w:t>
      </w:r>
    </w:p>
    <w:p>
      <w:pPr>
        <w:spacing w:after="60" w:line="264"/>
        <w:jc w:val="both"/>
      </w:pPr>
      <w:r>
        <w:rPr>
          <w:rFonts w:ascii="Calibri" w:cs="Calibri" w:eastAsia="Calibri" w:hAnsi="Calibri"/>
          <w:sz w:val="19"/>
          <w:szCs w:val="19"/>
        </w:rPr>
        <w:t xml:space="preserve">Notice periods, probation, leave, registration authority and end-of-service can all differ. Adapting a MOHRE contract by changing the header produces a document that is wrong on multiple terms simultaneously and defensible on none of them.</w:t>
      </w:r>
    </w:p>
    <w:p>
      <w:pPr>
        <w:keepNext/>
        <w:spacing w:after="40" w:before="140"/>
      </w:pPr>
      <w:r>
        <w:rPr>
          <w:rFonts w:ascii="Calibri" w:cs="Calibri" w:eastAsia="Calibri" w:hAnsi="Calibri"/>
          <w:b/>
          <w:bCs/>
          <w:color w:val="14161B"/>
          <w:sz w:val="20"/>
          <w:szCs w:val="20"/>
        </w:rPr>
        <w:t xml:space="preserve">Free zone is lighter on Emiratisation, not on employees</w:t>
      </w:r>
    </w:p>
    <w:p>
      <w:pPr>
        <w:spacing w:after="60" w:line="264"/>
        <w:jc w:val="both"/>
      </w:pPr>
      <w:r>
        <w:rPr>
          <w:rFonts w:ascii="Calibri" w:cs="Calibri" w:eastAsia="Calibri" w:hAnsi="Calibri"/>
          <w:sz w:val="19"/>
          <w:szCs w:val="19"/>
        </w:rPr>
        <w:t xml:space="preserve">Emiratisation obligations generally do not attach to free zone entities, and some administration is simpler. Employee entitlements, safety duties, wage payment, health insurance and immigration compliance are unchanged. Employers who treat a zone as a lighter employment environment are wrong about the part that matters.</w:t>
      </w:r>
    </w:p>
    <w:p>
      <w:pPr>
        <w:keepNext/>
        <w:spacing w:after="40" w:before="140"/>
      </w:pPr>
      <w:r>
        <w:rPr>
          <w:rFonts w:ascii="Calibri" w:cs="Calibri" w:eastAsia="Calibri" w:hAnsi="Calibri"/>
          <w:b/>
          <w:bCs/>
          <w:color w:val="14161B"/>
          <w:sz w:val="20"/>
          <w:szCs w:val="20"/>
        </w:rPr>
        <w:t xml:space="preserve">Employer costs remain employer costs</w:t>
      </w:r>
    </w:p>
    <w:p>
      <w:pPr>
        <w:spacing w:after="60" w:line="264"/>
        <w:jc w:val="both"/>
      </w:pPr>
      <w:r>
        <w:rPr>
          <w:rFonts w:ascii="Calibri" w:cs="Calibri" w:eastAsia="Calibri" w:hAnsi="Calibri"/>
          <w:sz w:val="19"/>
          <w:szCs w:val="19"/>
        </w:rPr>
        <w:t xml:space="preserve">Work permits, visas, medical tests, Emirates ID and recruitment fees cannot be recovered from an employee in any UAE jurisdiction. Nor may passports be retained. These are constants across mainland, free zone and financial free zone.</w:t>
      </w:r>
    </w:p>
    <w:p>
      <w:pPr>
        <w:keepNext/>
        <w:spacing w:after="40" w:before="140"/>
      </w:pPr>
      <w:r>
        <w:rPr>
          <w:rFonts w:ascii="Calibri" w:cs="Calibri" w:eastAsia="Calibri" w:hAnsi="Calibri"/>
          <w:b/>
          <w:bCs/>
          <w:color w:val="14161B"/>
          <w:sz w:val="20"/>
          <w:szCs w:val="20"/>
        </w:rPr>
        <w:t xml:space="preserve">Confirm the end-of-service mechanism specifically</w:t>
      </w:r>
    </w:p>
    <w:p>
      <w:pPr>
        <w:spacing w:after="60" w:line="264"/>
        <w:jc w:val="both"/>
      </w:pPr>
      <w:r>
        <w:rPr>
          <w:rFonts w:ascii="Calibri" w:cs="Calibri" w:eastAsia="Calibri" w:hAnsi="Calibri"/>
          <w:sz w:val="19"/>
          <w:szCs w:val="19"/>
        </w:rPr>
        <w:t xml:space="preserve">Most non-financial zones accrue gratuity on the federal basis — 21 days per year for five years, 30 thereafter, on basic salary. DIFC uses a funded scheme and ADGM its own arrangement. Confirm which applies before the first payroll, because a funded scheme requires monthly transfers that cannot be caught up later.</w:t>
      </w:r>
    </w:p>
    <w:p>
      <w:pPr>
        <w:keepNext/>
        <w:spacing w:after="40" w:before="140"/>
      </w:pPr>
      <w:r>
        <w:rPr>
          <w:rFonts w:ascii="Calibri" w:cs="Calibri" w:eastAsia="Calibri" w:hAnsi="Calibri"/>
          <w:b/>
          <w:bCs/>
          <w:color w:val="14161B"/>
          <w:sz w:val="20"/>
          <w:szCs w:val="20"/>
        </w:rPr>
        <w:t xml:space="preserve">Basic salary still drives gratuity</w:t>
      </w:r>
    </w:p>
    <w:p>
      <w:pPr>
        <w:spacing w:after="60" w:line="264"/>
        <w:jc w:val="both"/>
      </w:pPr>
      <w:r>
        <w:rPr>
          <w:rFonts w:ascii="Calibri" w:cs="Calibri" w:eastAsia="Calibri" w:hAnsi="Calibri"/>
          <w:sz w:val="19"/>
          <w:szCs w:val="19"/>
        </w:rPr>
        <w:t xml:space="preserve">Where gratuity applies, it is calculated on basic salary only. The basic-to-allowance split therefore has the same long-term consequence in a free zone as on the mainland, and it should be set deliberately at offer stage.</w:t>
      </w:r>
    </w:p>
    <w:p>
      <w:pPr>
        <w:keepNext/>
        <w:spacing w:after="40" w:before="140"/>
      </w:pPr>
      <w:r>
        <w:rPr>
          <w:rFonts w:ascii="Calibri" w:cs="Calibri" w:eastAsia="Calibri" w:hAnsi="Calibri"/>
          <w:b/>
          <w:bCs/>
          <w:color w:val="14161B"/>
          <w:sz w:val="20"/>
          <w:szCs w:val="20"/>
        </w:rPr>
        <w:t xml:space="preserve">WPS still applies, through the zone</w:t>
      </w:r>
    </w:p>
    <w:p>
      <w:pPr>
        <w:spacing w:after="60" w:line="264"/>
        <w:jc w:val="both"/>
      </w:pPr>
      <w:r>
        <w:rPr>
          <w:rFonts w:ascii="Calibri" w:cs="Calibri" w:eastAsia="Calibri" w:hAnsi="Calibri"/>
          <w:sz w:val="19"/>
          <w:szCs w:val="19"/>
        </w:rPr>
        <w:t xml:space="preserve">The mechanism differs — the zone administers its own arrangement with its own file format and deadlines — but the obligation to pay wages through a monitored system does not disappear. Confirm the format and the deadline with the zone.</w:t>
      </w:r>
    </w:p>
    <w:p>
      <w:pPr>
        <w:keepNext/>
        <w:spacing w:after="40" w:before="140"/>
      </w:pPr>
      <w:r>
        <w:rPr>
          <w:rFonts w:ascii="Calibri" w:cs="Calibri" w:eastAsia="Calibri" w:hAnsi="Calibri"/>
          <w:b/>
          <w:bCs/>
          <w:color w:val="14161B"/>
          <w:sz w:val="20"/>
          <w:szCs w:val="20"/>
        </w:rPr>
        <w:t xml:space="preserve">Visa quota is linked to the facility</w:t>
      </w:r>
    </w:p>
    <w:p>
      <w:pPr>
        <w:spacing w:after="60" w:line="264"/>
        <w:jc w:val="both"/>
      </w:pPr>
      <w:r>
        <w:rPr>
          <w:rFonts w:ascii="Calibri" w:cs="Calibri" w:eastAsia="Calibri" w:hAnsi="Calibri"/>
          <w:sz w:val="19"/>
          <w:szCs w:val="19"/>
        </w:rPr>
        <w:t xml:space="preserve">Zone visa quota comes with the package taken. A flexi-desk carries a small quota, and growing past it means taking more space mid-term. Model headcount for the licence term before choosing the facility.</w:t>
      </w:r>
    </w:p>
    <w:p>
      <w:pPr>
        <w:keepNext/>
        <w:spacing w:after="40" w:before="140"/>
      </w:pPr>
      <w:r>
        <w:rPr>
          <w:rFonts w:ascii="Calibri" w:cs="Calibri" w:eastAsia="Calibri" w:hAnsi="Calibri"/>
          <w:b/>
          <w:bCs/>
          <w:color w:val="14161B"/>
          <w:sz w:val="20"/>
          <w:szCs w:val="20"/>
        </w:rPr>
        <w:t xml:space="preserve">The job title must match the licence and the permit</w:t>
      </w:r>
    </w:p>
    <w:p>
      <w:pPr>
        <w:spacing w:after="60" w:line="264"/>
        <w:jc w:val="both"/>
      </w:pPr>
      <w:r>
        <w:rPr>
          <w:rFonts w:ascii="Calibri" w:cs="Calibri" w:eastAsia="Calibri" w:hAnsi="Calibri"/>
          <w:sz w:val="19"/>
          <w:szCs w:val="19"/>
        </w:rPr>
        <w:t xml:space="preserve">As on the mainland, permits are refused where the role does not correspond to a licensed activity, and the mismatch surfaces after the candidate has resigned elsewhere. Check the activity list against the role before making the offer.</w:t>
      </w:r>
    </w:p>
    <w:p>
      <w:pPr>
        <w:keepNext/>
        <w:spacing w:after="40" w:before="140"/>
      </w:pPr>
      <w:r>
        <w:rPr>
          <w:rFonts w:ascii="Calibri" w:cs="Calibri" w:eastAsia="Calibri" w:hAnsi="Calibri"/>
          <w:b/>
          <w:bCs/>
          <w:color w:val="14161B"/>
          <w:sz w:val="20"/>
          <w:szCs w:val="20"/>
        </w:rPr>
        <w:t xml:space="preserve">Disputes may go through the zone first</w:t>
      </w:r>
    </w:p>
    <w:p>
      <w:pPr>
        <w:spacing w:after="60" w:line="264"/>
        <w:jc w:val="both"/>
      </w:pPr>
      <w:r>
        <w:rPr>
          <w:rFonts w:ascii="Calibri" w:cs="Calibri" w:eastAsia="Calibri" w:hAnsi="Calibri"/>
          <w:sz w:val="19"/>
          <w:szCs w:val="19"/>
        </w:rPr>
        <w:t xml:space="preserve">Some zones operate their own employment dispute process before any court involvement. Establish the route in advance rather than discovering it when a claim is filed — it affects how documentation should be kept.</w:t>
      </w:r>
    </w:p>
    <w:p>
      <w:pPr>
        <w:keepNext/>
        <w:spacing w:after="40" w:before="140"/>
      </w:pPr>
      <w:r>
        <w:rPr>
          <w:rFonts w:ascii="Calibri" w:cs="Calibri" w:eastAsia="Calibri" w:hAnsi="Calibri"/>
          <w:b/>
          <w:bCs/>
          <w:color w:val="14161B"/>
          <w:sz w:val="20"/>
          <w:szCs w:val="20"/>
        </w:rPr>
        <w:t xml:space="preserve">ILOE and other federal schemes need checking</w:t>
      </w:r>
    </w:p>
    <w:p>
      <w:pPr>
        <w:spacing w:after="60" w:line="264"/>
        <w:jc w:val="both"/>
      </w:pPr>
      <w:r>
        <w:rPr>
          <w:rFonts w:ascii="Calibri" w:cs="Calibri" w:eastAsia="Calibri" w:hAnsi="Calibri"/>
          <w:sz w:val="19"/>
          <w:szCs w:val="19"/>
        </w:rPr>
        <w:t xml:space="preserve">Whether unemployment insurance subscription is mandatory for employees in your zone should be confirmed rather than assumed. The consequences of non-subscription fall on the employee, but they will ask the employer.</w:t>
      </w:r>
    </w:p>
    <w:p>
      <w:pPr>
        <w:keepNext/>
        <w:spacing w:after="40" w:before="140"/>
      </w:pPr>
      <w:r>
        <w:rPr>
          <w:rFonts w:ascii="Calibri" w:cs="Calibri" w:eastAsia="Calibri" w:hAnsi="Calibri"/>
          <w:b/>
          <w:bCs/>
          <w:color w:val="14161B"/>
          <w:sz w:val="20"/>
          <w:szCs w:val="20"/>
        </w:rPr>
        <w:t xml:space="preserve">Data protection follows the entity, not the mainland</w:t>
      </w:r>
    </w:p>
    <w:p>
      <w:pPr>
        <w:spacing w:after="60" w:line="264"/>
        <w:jc w:val="both"/>
      </w:pPr>
      <w:r>
        <w:rPr>
          <w:rFonts w:ascii="Calibri" w:cs="Calibri" w:eastAsia="Calibri" w:hAnsi="Calibri"/>
          <w:sz w:val="19"/>
          <w:szCs w:val="19"/>
        </w:rPr>
        <w:t xml:space="preserve">Free zone entities without their own data protection law fall under the federal PDPL. DIFC and ADGM entities follow their own regimes. Adopt the right policy for the entity rather than a single group document.</w:t>
      </w:r>
    </w:p>
    <w:p>
      <w:pPr>
        <w:keepNext/>
        <w:spacing w:after="40" w:before="140"/>
      </w:pPr>
      <w:r>
        <w:rPr>
          <w:rFonts w:ascii="Calibri" w:cs="Calibri" w:eastAsia="Calibri" w:hAnsi="Calibri"/>
          <w:b/>
          <w:bCs/>
          <w:color w:val="14161B"/>
          <w:sz w:val="20"/>
          <w:szCs w:val="20"/>
        </w:rPr>
        <w:t xml:space="preserve">Confirm the zone position annually</w:t>
      </w:r>
    </w:p>
    <w:p>
      <w:pPr>
        <w:spacing w:after="60" w:line="264"/>
        <w:jc w:val="both"/>
      </w:pPr>
      <w:r>
        <w:rPr>
          <w:rFonts w:ascii="Calibri" w:cs="Calibri" w:eastAsia="Calibri" w:hAnsi="Calibri"/>
          <w:sz w:val="19"/>
          <w:szCs w:val="19"/>
        </w:rPr>
        <w:t xml:space="preserve">Zone employment regulations change, and zones periodically align more closely with or diverge further from the federal framework. An annual check with the zone authority keeps the contract templates current.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free zone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Whether the federal labour law applies in full, contract templates, registration requirements, end-of-service arrangements, WPS mechanics and dispute processes all differ between zones and change — confirm directly with the relevant free zone authority before drafting or relying on any employment document.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2026-08-23T16:28:35.326Z</dcterms:created>
  <dcterms:modified xsi:type="dcterms:W3CDTF">2026-08-23T16:28:35.326Z</dcterms:modified>
</cp:coreProperties>
</file>

<file path=docProps/custom.xml><?xml version="1.0" encoding="utf-8"?>
<Properties xmlns="http://schemas.openxmlformats.org/officeDocument/2006/custom-properties" xmlns:vt="http://schemas.openxmlformats.org/officeDocument/2006/docPropsVTypes"/>
</file>