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THE FIRST 90 DAYS</w:t>
      </w:r>
    </w:p>
    <w:p>
      <w:pPr>
        <w:spacing w:after="260"/>
        <w:jc w:val="center"/>
      </w:pPr>
      <w:r>
        <w:rPr>
          <w:rFonts w:ascii="Calibri" w:cs="Calibri" w:eastAsia="Calibri" w:hAnsi="Calibri"/>
          <w:i/>
          <w:iCs/>
          <w:color w:val="6E7480"/>
          <w:sz w:val="19"/>
          <w:szCs w:val="19"/>
        </w:rPr>
        <w:t xml:space="preserve">Setting up and operating in the UAE</w:t>
      </w:r>
    </w:p>
    <w:p>
      <w:pPr>
        <w:spacing w:after="180" w:before="0" w:line="276"/>
        <w:jc w:val="both"/>
      </w:pPr>
      <w:r>
        <w:rPr>
          <w:rFonts w:ascii="Calibri" w:cs="Calibri" w:eastAsia="Calibri" w:hAnsi="Calibri"/>
          <w:i/>
          <w:iCs/>
          <w:color w:val="6E7480"/>
          <w:sz w:val="21"/>
          <w:szCs w:val="21"/>
        </w:rPr>
        <w:t xml:space="preserve">Setting up here is a </w:t>
      </w:r>
      <w:r>
        <w:rPr>
          <w:rFonts w:ascii="Calibri" w:cs="Calibri" w:eastAsia="Calibri" w:hAnsi="Calibri"/>
          <w:b/>
          <w:bCs/>
          <w:i/>
          <w:iCs/>
          <w:color w:val="6E7480"/>
          <w:sz w:val="21"/>
          <w:szCs w:val="21"/>
        </w:rPr>
        <w:t xml:space="preserve">chain, not a checklist</w:t>
      </w:r>
      <w:r>
        <w:rPr>
          <w:rFonts w:ascii="Calibri" w:cs="Calibri" w:eastAsia="Calibri" w:hAnsi="Calibri"/>
          <w:i/>
          <w:iCs/>
          <w:color w:val="6E7480"/>
          <w:sz w:val="21"/>
          <w:szCs w:val="21"/>
        </w:rPr>
        <w:t xml:space="preserve">. Premises gate registration, registration gates the licence, the licence gates the establishment card, and that gates every visa. Bank account opening runs alongside and is the slowest step of all. Sequence it wrong and the business is licensed but cannot pay anyone.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Business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Structure chosen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LLC / free zone / DIFC / ADGM / branch]</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Activities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Emirate or zone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Headcount — year one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Target trading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 of the setup</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Advisers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[Legal, tax, PRO]</w:t>
            </w:r>
          </w:p>
        </w:tc>
      </w:tr>
    </w:tbl>
    <w:p>
      <w:pPr>
        <w:spacing w:after="180"/>
      </w:pPr>
    </w:p>
    <w:p>
      <w:pPr>
        <w:keepNext/>
        <w:spacing w:after="120" w:before="280"/>
        <w:outlineLvl w:val="0"/>
      </w:pPr>
      <w:r>
        <w:rPr>
          <w:rFonts w:ascii="Calibri" w:cs="Calibri" w:eastAsia="Calibri" w:hAnsi="Calibri"/>
          <w:b/>
          <w:bCs/>
          <w:color w:val="14161B"/>
          <w:sz w:val="22"/>
          <w:szCs w:val="22"/>
        </w:rPr>
        <w:t xml:space="preserve">THE FOUR DECISIONS THAT ARE HARD TO UNDO</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3855"/>
        <w:gridCol w:w="3278"/>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Decision</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 it is hard to reverse</w:t>
            </w:r>
          </w:p>
        </w:tc>
        <w:tc>
          <w:tcPr>
            <w:tcW w:type="dxa" w:w="32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Where to look</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Jurisdiction — mainland, free zone, DIFC or ADGM</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Determines employment law, tax analysis, data regime and share mechanics</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Choosing UAE jurisdiction; group structures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Where the equity sits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Mainland share transfers are notarised and slow; option schemes barely work there</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Shareholders’ agreement; employee equity</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Premises and space taken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Space determines visa quota</w:t>
            </w:r>
            <w:r>
              <w:rPr>
                <w:rFonts w:ascii="Calibri" w:cs="Calibri" w:eastAsia="Calibri" w:hAnsi="Calibri"/>
                <w:sz w:val="17"/>
                <w:szCs w:val="17"/>
              </w:rPr>
              <w:t xml:space="preserve"> and the lease runs for years</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Setting up premises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Whether to register a commercial agency</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Statutory protections attach and exit becomes very difficult</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Commercial agency; distribution</w:t>
            </w:r>
          </w:p>
        </w:tc>
      </w:tr>
    </w:tbl>
    <w:p>
      <w:pPr>
        <w:spacing w:after="140"/>
      </w:pPr>
    </w:p>
    <w:p>
      <w:pPr>
        <w:spacing w:after="120" w:before="60" w:line="276"/>
        <w:ind w:left="720" w:hanging="720"/>
        <w:jc w:val="both"/>
      </w:pPr>
      <w:r>
        <w:rPr>
          <w:rFonts w:ascii="Calibri" w:cs="Calibri" w:eastAsia="Calibri" w:hAnsi="Calibri"/>
          <w:sz w:val="21"/>
          <w:szCs w:val="21"/>
        </w:rPr>
        <w:t xml:space="preserve">a	</w:t>
      </w:r>
      <w:r>
        <w:rPr>
          <w:rFonts w:ascii="Calibri" w:cs="Calibri" w:eastAsia="Calibri" w:hAnsi="Calibri"/>
          <w:i/>
          <w:iCs/>
          <w:sz w:val="21"/>
          <w:szCs w:val="21"/>
        </w:rPr>
        <w:t xml:space="preserve">Redomiciliation between authorities is now possible, which makes the first decision less permanent than it was. It remains a process with approvals, not a switch.</w:t>
      </w:r>
    </w:p>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240" w:before="240"/>
        <w:jc w:val="center"/>
      </w:pPr>
      <w:r>
        <w:rPr>
          <w:rFonts w:ascii="Calibri" w:cs="Calibri" w:eastAsia="Calibri" w:hAnsi="Calibri"/>
          <w:b/>
          <w:bCs/>
          <w:color w:val="14161B"/>
          <w:spacing w:val="12"/>
          <w:sz w:val="28"/>
          <w:szCs w:val="28"/>
        </w:rPr>
        <w:t xml:space="preserve">THE 90 DAYS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751"/>
        <w:gridCol w:w="6015"/>
        <w:gridCol w:w="2255"/>
        <w:gridCol w:w="1954"/>
        <w:gridCol w:w="1804"/>
        <w:gridCol w:w="2259"/>
      </w:tblGrid>
      <w:tr>
        <w:trPr>
          <w:cantSplit/>
          <w:tblHeader/>
        </w:trPr>
        <w:tc>
          <w:tcPr>
            <w:tcW w:type="dxa" w:w="7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t>
            </w:r>
          </w:p>
        </w:tc>
        <w:tc>
          <w:tcPr>
            <w:tcW w:type="dxa" w:w="60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Step</w:t>
            </w:r>
          </w:p>
        </w:tc>
        <w:tc>
          <w:tcPr>
            <w:tcW w:type="dxa" w:w="22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When</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Depends on</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Owner</w:t>
            </w:r>
          </w:p>
        </w:tc>
        <w:tc>
          <w:tcPr>
            <w:tcW w:type="dxa" w:w="225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Done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 1–15 — decide</w:t>
            </w:r>
          </w:p>
        </w:tc>
        <w:tc>
          <w:tcPr>
            <w:tcW w:type="dxa" w:w="6015"/>
            <w:tcMar>
              <w:top w:type="dxa" w:w="70"/>
              <w:left w:type="dxa" w:w="100"/>
              <w:bottom w:type="dxa" w:w="70"/>
              <w:right w:type="dxa" w:w="100"/>
            </w:tcMar>
            <w:vAlign w:val="center"/>
          </w:tcPr>
          <w:p>
            <w:pPr>
              <w:spacing w:after="0" w:line="240"/>
              <w:jc w:val="left"/>
            </w:pPr>
          </w:p>
        </w:tc>
        <w:tc>
          <w:tcPr>
            <w:tcW w:type="dxa" w:w="2255"/>
            <w:tcMar>
              <w:top w:type="dxa" w:w="70"/>
              <w:left w:type="dxa" w:w="100"/>
              <w:bottom w:type="dxa" w:w="70"/>
              <w:right w:type="dxa" w:w="100"/>
            </w:tcMar>
            <w:vAlign w:val="center"/>
          </w:tcPr>
          <w:p>
            <w:pPr>
              <w:spacing w:after="0" w:line="240"/>
              <w:jc w:val="left"/>
            </w:pPr>
          </w:p>
        </w:tc>
        <w:tc>
          <w:tcPr>
            <w:tcW w:type="dxa" w:w="1954"/>
            <w:tcMar>
              <w:top w:type="dxa" w:w="70"/>
              <w:left w:type="dxa" w:w="100"/>
              <w:bottom w:type="dxa" w:w="70"/>
              <w:right w:type="dxa" w:w="100"/>
            </w:tcMar>
            <w:vAlign w:val="center"/>
          </w:tcPr>
          <w:p>
            <w:pPr>
              <w:spacing w:after="0" w:line="240"/>
              <w:jc w:val="left"/>
            </w:pPr>
          </w:p>
        </w:tc>
        <w:tc>
          <w:tcPr>
            <w:tcW w:type="dxa" w:w="1804"/>
            <w:tcMar>
              <w:top w:type="dxa" w:w="70"/>
              <w:left w:type="dxa" w:w="100"/>
              <w:bottom w:type="dxa" w:w="70"/>
              <w:right w:type="dxa" w:w="100"/>
            </w:tcMar>
            <w:vAlign w:val="center"/>
          </w:tcPr>
          <w:p>
            <w:pPr>
              <w:spacing w:after="0" w:line="240"/>
              <w:jc w:val="left"/>
            </w:pPr>
          </w:p>
        </w:tc>
        <w:tc>
          <w:tcPr>
            <w:tcW w:type="dxa" w:w="2259"/>
            <w:tcMar>
              <w:top w:type="dxa" w:w="70"/>
              <w:left w:type="dxa" w:w="100"/>
              <w:bottom w:type="dxa" w:w="70"/>
              <w:right w:type="dxa" w:w="100"/>
            </w:tcMar>
            <w:vAlign w:val="center"/>
          </w:tcPr>
          <w:p>
            <w:pPr>
              <w:spacing w:after="0" w:line="240"/>
              <w:jc w:val="left"/>
            </w:pP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Jurisdiction chosen with legal and tax advice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1–10</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[Founder]</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Activities confirmed against the licence category</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5</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1</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[Founder]</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Ownership structure and where equity sits</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10</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1</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[Founder]</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4</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Headcount modelled across the lease term</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10</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[Founder]</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5</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Name reserved</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12</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2</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[PRO]</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6</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Initial approval obtained</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15</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5</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[PRO]</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 15–45 — establish</w:t>
            </w:r>
          </w:p>
        </w:tc>
        <w:tc>
          <w:tcPr>
            <w:tcW w:type="dxa" w:w="6015"/>
            <w:tcMar>
              <w:top w:type="dxa" w:w="70"/>
              <w:left w:type="dxa" w:w="100"/>
              <w:bottom w:type="dxa" w:w="70"/>
              <w:right w:type="dxa" w:w="100"/>
            </w:tcMar>
            <w:vAlign w:val="center"/>
          </w:tcPr>
          <w:p>
            <w:pPr>
              <w:spacing w:after="0" w:line="240"/>
              <w:jc w:val="left"/>
            </w:pPr>
          </w:p>
        </w:tc>
        <w:tc>
          <w:tcPr>
            <w:tcW w:type="dxa" w:w="2255"/>
            <w:tcMar>
              <w:top w:type="dxa" w:w="70"/>
              <w:left w:type="dxa" w:w="100"/>
              <w:bottom w:type="dxa" w:w="70"/>
              <w:right w:type="dxa" w:w="100"/>
            </w:tcMar>
            <w:vAlign w:val="center"/>
          </w:tcPr>
          <w:p>
            <w:pPr>
              <w:spacing w:after="0" w:line="240"/>
              <w:jc w:val="left"/>
            </w:pPr>
          </w:p>
        </w:tc>
        <w:tc>
          <w:tcPr>
            <w:tcW w:type="dxa" w:w="1954"/>
            <w:tcMar>
              <w:top w:type="dxa" w:w="70"/>
              <w:left w:type="dxa" w:w="100"/>
              <w:bottom w:type="dxa" w:w="70"/>
              <w:right w:type="dxa" w:w="100"/>
            </w:tcMar>
            <w:vAlign w:val="center"/>
          </w:tcPr>
          <w:p>
            <w:pPr>
              <w:spacing w:after="0" w:line="240"/>
              <w:jc w:val="left"/>
            </w:pPr>
          </w:p>
        </w:tc>
        <w:tc>
          <w:tcPr>
            <w:tcW w:type="dxa" w:w="1804"/>
            <w:tcMar>
              <w:top w:type="dxa" w:w="70"/>
              <w:left w:type="dxa" w:w="100"/>
              <w:bottom w:type="dxa" w:w="70"/>
              <w:right w:type="dxa" w:w="100"/>
            </w:tcMar>
            <w:vAlign w:val="center"/>
          </w:tcPr>
          <w:p>
            <w:pPr>
              <w:spacing w:after="0" w:line="240"/>
              <w:jc w:val="left"/>
            </w:pPr>
          </w:p>
        </w:tc>
        <w:tc>
          <w:tcPr>
            <w:tcW w:type="dxa" w:w="2259"/>
            <w:tcMar>
              <w:top w:type="dxa" w:w="70"/>
              <w:left w:type="dxa" w:w="100"/>
              <w:bottom w:type="dxa" w:w="70"/>
              <w:right w:type="dxa" w:w="100"/>
            </w:tcMar>
            <w:vAlign w:val="center"/>
          </w:tcPr>
          <w:p>
            <w:pPr>
              <w:spacing w:after="0" w:line="240"/>
              <w:jc w:val="left"/>
            </w:pP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7</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Attestation of foreign documents started</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 1 — do not wait</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[Founder]</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8</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Premises identified; quota checked against space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20</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4</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[Founder]</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9</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Lease signed</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25</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8</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[Founder]</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10</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Tenancy registered</w:t>
            </w:r>
            <w:r>
              <w:rPr>
                <w:rFonts w:ascii="Calibri" w:cs="Calibri" w:eastAsia="Calibri" w:hAnsi="Calibri"/>
                <w:sz w:val="14"/>
                <w:szCs w:val="14"/>
              </w:rPr>
              <w:t xml:space="preserve"> (Ejari / Tawtheeq / zone)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28</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9</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[PRO]</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[Mainland]</w:t>
            </w:r>
            <w:r>
              <w:rPr>
                <w:rFonts w:ascii="Calibri" w:cs="Calibri" w:eastAsia="Calibri" w:hAnsi="Calibri"/>
                <w:sz w:val="14"/>
                <w:szCs w:val="14"/>
              </w:rPr>
              <w:t xml:space="preserve"> MOA notarised</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30</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Steps 3, 6</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[PRO]</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Trade licence issued</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35</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Steps 10, 11</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[PRO]</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Bank account application submitted</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 35 — immediately</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12</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[Founder]</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14</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Establishment card and immigration file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40</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12</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[PRO]</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15</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Visa quota confirmed</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42</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Steps 12, 14</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[PRO]</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 45–75 — register and equip</w:t>
            </w:r>
          </w:p>
        </w:tc>
        <w:tc>
          <w:tcPr>
            <w:tcW w:type="dxa" w:w="6015"/>
            <w:tcMar>
              <w:top w:type="dxa" w:w="70"/>
              <w:left w:type="dxa" w:w="100"/>
              <w:bottom w:type="dxa" w:w="70"/>
              <w:right w:type="dxa" w:w="100"/>
            </w:tcMar>
            <w:vAlign w:val="center"/>
          </w:tcPr>
          <w:p>
            <w:pPr>
              <w:spacing w:after="0" w:line="240"/>
              <w:jc w:val="left"/>
            </w:pPr>
          </w:p>
        </w:tc>
        <w:tc>
          <w:tcPr>
            <w:tcW w:type="dxa" w:w="2255"/>
            <w:tcMar>
              <w:top w:type="dxa" w:w="70"/>
              <w:left w:type="dxa" w:w="100"/>
              <w:bottom w:type="dxa" w:w="70"/>
              <w:right w:type="dxa" w:w="100"/>
            </w:tcMar>
            <w:vAlign w:val="center"/>
          </w:tcPr>
          <w:p>
            <w:pPr>
              <w:spacing w:after="0" w:line="240"/>
              <w:jc w:val="left"/>
            </w:pPr>
          </w:p>
        </w:tc>
        <w:tc>
          <w:tcPr>
            <w:tcW w:type="dxa" w:w="1954"/>
            <w:tcMar>
              <w:top w:type="dxa" w:w="70"/>
              <w:left w:type="dxa" w:w="100"/>
              <w:bottom w:type="dxa" w:w="70"/>
              <w:right w:type="dxa" w:w="100"/>
            </w:tcMar>
            <w:vAlign w:val="center"/>
          </w:tcPr>
          <w:p>
            <w:pPr>
              <w:spacing w:after="0" w:line="240"/>
              <w:jc w:val="left"/>
            </w:pPr>
          </w:p>
        </w:tc>
        <w:tc>
          <w:tcPr>
            <w:tcW w:type="dxa" w:w="1804"/>
            <w:tcMar>
              <w:top w:type="dxa" w:w="70"/>
              <w:left w:type="dxa" w:w="100"/>
              <w:bottom w:type="dxa" w:w="70"/>
              <w:right w:type="dxa" w:w="100"/>
            </w:tcMar>
            <w:vAlign w:val="center"/>
          </w:tcPr>
          <w:p>
            <w:pPr>
              <w:spacing w:after="0" w:line="240"/>
              <w:jc w:val="left"/>
            </w:pPr>
          </w:p>
        </w:tc>
        <w:tc>
          <w:tcPr>
            <w:tcW w:type="dxa" w:w="2259"/>
            <w:tcMar>
              <w:top w:type="dxa" w:w="70"/>
              <w:left w:type="dxa" w:w="100"/>
              <w:bottom w:type="dxa" w:w="70"/>
              <w:right w:type="dxa" w:w="100"/>
            </w:tcMar>
            <w:vAlign w:val="center"/>
          </w:tcPr>
          <w:p>
            <w:pPr>
              <w:spacing w:after="0" w:line="240"/>
              <w:jc w:val="left"/>
            </w:pP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16</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Corporate tax registration</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45</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12</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17</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VAT registration assessed and made where required</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45</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12</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18</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UBO register established and filed</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45</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12</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[CoSec]</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19</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Fit-out approvals — landlord, municipality, civil defence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45–70</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9</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[Admin]</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20</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Utilities and telecoms ordered</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 45 — long lead times</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9</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[Admin]</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Insurance arranged — health, work injury, liability</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50</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Accounting system and record-keeping established</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50</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Bank account opened</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 50–80]</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13</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[Founder]</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 60–90 — hire and operate</w:t>
            </w:r>
          </w:p>
        </w:tc>
        <w:tc>
          <w:tcPr>
            <w:tcW w:type="dxa" w:w="6015"/>
            <w:tcMar>
              <w:top w:type="dxa" w:w="70"/>
              <w:left w:type="dxa" w:w="100"/>
              <w:bottom w:type="dxa" w:w="70"/>
              <w:right w:type="dxa" w:w="100"/>
            </w:tcMar>
            <w:vAlign w:val="center"/>
          </w:tcPr>
          <w:p>
            <w:pPr>
              <w:spacing w:after="0" w:line="240"/>
              <w:jc w:val="left"/>
            </w:pPr>
          </w:p>
        </w:tc>
        <w:tc>
          <w:tcPr>
            <w:tcW w:type="dxa" w:w="2255"/>
            <w:tcMar>
              <w:top w:type="dxa" w:w="70"/>
              <w:left w:type="dxa" w:w="100"/>
              <w:bottom w:type="dxa" w:w="70"/>
              <w:right w:type="dxa" w:w="100"/>
            </w:tcMar>
            <w:vAlign w:val="center"/>
          </w:tcPr>
          <w:p>
            <w:pPr>
              <w:spacing w:after="0" w:line="240"/>
              <w:jc w:val="left"/>
            </w:pPr>
          </w:p>
        </w:tc>
        <w:tc>
          <w:tcPr>
            <w:tcW w:type="dxa" w:w="1954"/>
            <w:tcMar>
              <w:top w:type="dxa" w:w="70"/>
              <w:left w:type="dxa" w:w="100"/>
              <w:bottom w:type="dxa" w:w="70"/>
              <w:right w:type="dxa" w:w="100"/>
            </w:tcMar>
            <w:vAlign w:val="center"/>
          </w:tcPr>
          <w:p>
            <w:pPr>
              <w:spacing w:after="0" w:line="240"/>
              <w:jc w:val="left"/>
            </w:pPr>
          </w:p>
        </w:tc>
        <w:tc>
          <w:tcPr>
            <w:tcW w:type="dxa" w:w="1804"/>
            <w:tcMar>
              <w:top w:type="dxa" w:w="70"/>
              <w:left w:type="dxa" w:w="100"/>
              <w:bottom w:type="dxa" w:w="70"/>
              <w:right w:type="dxa" w:w="100"/>
            </w:tcMar>
            <w:vAlign w:val="center"/>
          </w:tcPr>
          <w:p>
            <w:pPr>
              <w:spacing w:after="0" w:line="240"/>
              <w:jc w:val="left"/>
            </w:pPr>
          </w:p>
        </w:tc>
        <w:tc>
          <w:tcPr>
            <w:tcW w:type="dxa" w:w="2259"/>
            <w:tcMar>
              <w:top w:type="dxa" w:w="70"/>
              <w:left w:type="dxa" w:w="100"/>
              <w:bottom w:type="dxa" w:w="70"/>
              <w:right w:type="dxa" w:w="100"/>
            </w:tcMar>
            <w:vAlign w:val="center"/>
          </w:tcPr>
          <w:p>
            <w:pPr>
              <w:spacing w:after="0" w:line="240"/>
              <w:jc w:val="left"/>
            </w:pP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24</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Employment documents prepared for the jurisdiction</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60</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1</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25</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Work permits applied for</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60</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Steps 14, 15</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[PRO]</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26</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Employees may not start before permits issue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70+</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25</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27</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MOHRE contracts registered within 14 days of permit approval</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75</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25</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28</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WPS set up and tested before the first payroll</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80</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Steps 23, 27</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[Payroll]</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29</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Health insurance enrolled before visas</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75</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21</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30</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Emiratisation position calculated</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85</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27</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Data protection policy and privacy notices adopted</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85</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Step 1</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[DPO]</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Compliance calendar built with six-month reminders</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90</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[Founder]</w:t>
            </w:r>
          </w:p>
        </w:tc>
        <w:tc>
          <w:tcPr>
            <w:tcW w:type="dxa" w:w="225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WHAT DELAYS PEOPLE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2120"/>
        <w:gridCol w:w="462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Cause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How long it adds</w:t>
            </w:r>
          </w:p>
        </w:tc>
        <w:tc>
          <w:tcPr>
            <w:tcW w:type="dxa" w:w="46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Prevention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Attestation of foreign documents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3–6 weeks</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Start on day one, before anything else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Bank account opening</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Weeks to months</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Apply the day the licence issues; apply to several banks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Telecoms installation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[Weeks]</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Order at lease signature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Fit-out approvals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[Weeks]</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Design to what will be approved</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Licence activity mismatch</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[Weeks]</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 the activity before name reservation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Quota insufficient for the plan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Restructuring</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Model headcount before signing the lease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Wrong jurisdiction chosen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Months</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Take advice before incorporating</w:t>
            </w:r>
          </w:p>
        </w:tc>
      </w:tr>
    </w:tbl>
    <w:p>
      <w:pPr>
        <w:spacing w:after="160"/>
      </w:pPr>
    </w:p>
    <w:p>
      <w:pPr>
        <w:keepNext/>
        <w:spacing w:after="120" w:before="280"/>
        <w:outlineLvl w:val="0"/>
      </w:pPr>
      <w:r>
        <w:rPr>
          <w:rFonts w:ascii="Calibri" w:cs="Calibri" w:eastAsia="Calibri" w:hAnsi="Calibri"/>
          <w:b/>
          <w:bCs/>
          <w:color w:val="14161B"/>
          <w:sz w:val="22"/>
          <w:szCs w:val="22"/>
        </w:rPr>
        <w:t xml:space="preserve">FIRST-YEAR OBLIGATIONS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1927"/>
        <w:gridCol w:w="4627"/>
      </w:tblGrid>
      <w:tr>
        <w:trPr>
          <w:cantSplit/>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Obligation</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Frequency</w:t>
            </w:r>
          </w:p>
        </w:tc>
        <w:tc>
          <w:tcPr>
            <w:tcW w:type="dxa" w:w="46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Missed most often</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WPS salary file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Permit bans from the first offence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Emiratisation rate recalculated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Target moves with every skilled hire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Free zone qualifying revenue analysis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 minimis breach found too late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VAT returns where registered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[Quarterly]</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Reverse charge on imported services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Corporate tax return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Filing required even with no tax due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UBO register updated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change</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Never updated after incorporation</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Licence, card and tenancy renewals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Started too late; the cascade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Records retained seven years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Continuous</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Working papers discarded</w:t>
            </w:r>
          </w:p>
        </w:tc>
      </w:tr>
    </w:tbl>
    <w:p>
      <w:pPr>
        <w:spacing w:after="160"/>
      </w:pPr>
    </w:p>
    <w:p>
      <w:pPr>
        <w:keepNext/>
        <w:spacing w:after="120" w:before="280"/>
        <w:outlineLvl w:val="0"/>
      </w:pPr>
      <w:r>
        <w:rPr>
          <w:rFonts w:ascii="Calibri" w:cs="Calibri" w:eastAsia="Calibri" w:hAnsi="Calibri"/>
          <w:b/>
          <w:bCs/>
          <w:color w:val="14161B"/>
          <w:sz w:val="22"/>
          <w:szCs w:val="22"/>
        </w:rPr>
        <w:t xml:space="preserve">WHERE TO LOOK IN THIS LIBRARY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If you are…</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Start with</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Deciding where to establish</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Choosing UAE jurisdiction; free zone formation; mainland LLC incorporation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Hiring your first employee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 onboarding; employment contract; offer of employment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Setting up payroll</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Running payroll; WPS compliance; end-of-service gratuity</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Taking premises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Setting up premises; commercial tenancy; fit-out and construction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Registering for tax</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Corporate tax and QFZP; corporate tax return; VAT and e-invoicing</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Raising investment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Raising investment; shareholders’ agreement; convertible instruments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Appointing a distributor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Commercial agency and distribution</w:t>
            </w:r>
            <w:r>
              <w:rPr>
                <w:rFonts w:ascii="Calibri" w:cs="Calibri" w:eastAsia="Calibri" w:hAnsi="Calibri"/>
                <w:sz w:val="17"/>
                <w:szCs w:val="17"/>
              </w:rPr>
              <w:t xml:space="preserve"> — read before agreeing anything</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Handling personal data</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PDPL policy; DIFC or ADGM policy; data processing addendum</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Building a group</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Group structures; transfer pricing; secondment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Letting someone go</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Offboarding; settlement agreement; redundancy and restructuring</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Staying compliant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Annual compliance calendar</w:t>
            </w:r>
            <w:r>
              <w:rPr>
                <w:rFonts w:ascii="Calibri" w:cs="Calibri" w:eastAsia="Calibri" w:hAnsi="Calibri"/>
                <w:sz w:val="17"/>
                <w:szCs w:val="17"/>
              </w:rPr>
              <w:t xml:space="preserve"> — the cascade in one place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Setting up is a chain, not a checklist</w:t>
      </w:r>
    </w:p>
    <w:p>
      <w:pPr>
        <w:spacing w:after="60" w:line="264"/>
        <w:jc w:val="both"/>
      </w:pPr>
      <w:r>
        <w:rPr>
          <w:rFonts w:ascii="Calibri" w:cs="Calibri" w:eastAsia="Calibri" w:hAnsi="Calibri"/>
          <w:sz w:val="19"/>
          <w:szCs w:val="19"/>
        </w:rPr>
        <w:t xml:space="preserve">Premises gate registration, registration gates the licence, the licence gates the establishment card, and that gates every visa transaction. Working the steps out of order produces a business that is licensed but cannot hire or pay anyone.</w:t>
      </w:r>
    </w:p>
    <w:p>
      <w:pPr>
        <w:keepNext/>
        <w:spacing w:after="40" w:before="140"/>
      </w:pPr>
      <w:r>
        <w:rPr>
          <w:rFonts w:ascii="Calibri" w:cs="Calibri" w:eastAsia="Calibri" w:hAnsi="Calibri"/>
          <w:b/>
          <w:bCs/>
          <w:color w:val="14161B"/>
          <w:sz w:val="20"/>
          <w:szCs w:val="20"/>
        </w:rPr>
        <w:t xml:space="preserve">Start attestation on day one</w:t>
      </w:r>
    </w:p>
    <w:p>
      <w:pPr>
        <w:spacing w:after="60" w:line="264"/>
        <w:jc w:val="both"/>
      </w:pPr>
      <w:r>
        <w:rPr>
          <w:rFonts w:ascii="Calibri" w:cs="Calibri" w:eastAsia="Calibri" w:hAnsi="Calibri"/>
          <w:sz w:val="19"/>
          <w:szCs w:val="19"/>
        </w:rPr>
        <w:t xml:space="preserve">Foreign incorporation documents, powers of attorney, degree certificates and marriage certificates all need attestation in the country of origin, embassy legalisation and Ministry of Foreign Affairs attestation. Three to six weeks, and almost everything else waits on it.</w:t>
      </w:r>
    </w:p>
    <w:p>
      <w:pPr>
        <w:keepNext/>
        <w:spacing w:after="40" w:before="140"/>
      </w:pPr>
      <w:r>
        <w:rPr>
          <w:rFonts w:ascii="Calibri" w:cs="Calibri" w:eastAsia="Calibri" w:hAnsi="Calibri"/>
          <w:b/>
          <w:bCs/>
          <w:color w:val="14161B"/>
          <w:sz w:val="20"/>
          <w:szCs w:val="20"/>
        </w:rPr>
        <w:t xml:space="preserve">Apply for the bank account the day the licence issues</w:t>
      </w:r>
    </w:p>
    <w:p>
      <w:pPr>
        <w:spacing w:after="60" w:line="264"/>
        <w:jc w:val="both"/>
      </w:pPr>
      <w:r>
        <w:rPr>
          <w:rFonts w:ascii="Calibri" w:cs="Calibri" w:eastAsia="Calibri" w:hAnsi="Calibri"/>
          <w:sz w:val="19"/>
          <w:szCs w:val="19"/>
        </w:rPr>
        <w:t xml:space="preserve">It is the slowest step and it sits on the critical path to payroll. Apply to several banks in parallel, prepare the source of wealth narrative in advance, and expect substantial diligence on the ownership chain.</w:t>
      </w:r>
    </w:p>
    <w:p>
      <w:pPr>
        <w:keepNext/>
        <w:spacing w:after="40" w:before="140"/>
      </w:pPr>
      <w:r>
        <w:rPr>
          <w:rFonts w:ascii="Calibri" w:cs="Calibri" w:eastAsia="Calibri" w:hAnsi="Calibri"/>
          <w:b/>
          <w:bCs/>
          <w:color w:val="14161B"/>
          <w:sz w:val="20"/>
          <w:szCs w:val="20"/>
        </w:rPr>
        <w:t xml:space="preserve">Model headcount before signing the lease</w:t>
      </w:r>
    </w:p>
    <w:p>
      <w:pPr>
        <w:spacing w:after="60" w:line="264"/>
        <w:jc w:val="both"/>
      </w:pPr>
      <w:r>
        <w:rPr>
          <w:rFonts w:ascii="Calibri" w:cs="Calibri" w:eastAsia="Calibri" w:hAnsi="Calibri"/>
          <w:sz w:val="19"/>
          <w:szCs w:val="19"/>
        </w:rPr>
        <w:t xml:space="preserve">Visa quota is linked to the area and type of premises, and the lease runs for years. A company that minimises space to control cost and then wins work finds it cannot hire. This is the most common structural mistake in year one.</w:t>
      </w:r>
    </w:p>
    <w:p>
      <w:pPr>
        <w:keepNext/>
        <w:spacing w:after="40" w:before="140"/>
      </w:pPr>
      <w:r>
        <w:rPr>
          <w:rFonts w:ascii="Calibri" w:cs="Calibri" w:eastAsia="Calibri" w:hAnsi="Calibri"/>
          <w:b/>
          <w:bCs/>
          <w:color w:val="14161B"/>
          <w:sz w:val="20"/>
          <w:szCs w:val="20"/>
        </w:rPr>
        <w:t xml:space="preserve">Take advice on jurisdiction before incorporating</w:t>
      </w:r>
    </w:p>
    <w:p>
      <w:pPr>
        <w:spacing w:after="60" w:line="264"/>
        <w:jc w:val="both"/>
      </w:pPr>
      <w:r>
        <w:rPr>
          <w:rFonts w:ascii="Calibri" w:cs="Calibri" w:eastAsia="Calibri" w:hAnsi="Calibri"/>
          <w:sz w:val="19"/>
          <w:szCs w:val="19"/>
        </w:rPr>
        <w:t xml:space="preserve">Mainland, free zone, DIFC and ADGM differ on employment law, tax, data protection and share mechanics. Redomiciliation is now possible, which softens the consequence, but it is a process with approvals rather than a correction.</w:t>
      </w:r>
    </w:p>
    <w:p>
      <w:pPr>
        <w:keepNext/>
        <w:spacing w:after="40" w:before="140"/>
      </w:pPr>
      <w:r>
        <w:rPr>
          <w:rFonts w:ascii="Calibri" w:cs="Calibri" w:eastAsia="Calibri" w:hAnsi="Calibri"/>
          <w:b/>
          <w:bCs/>
          <w:color w:val="14161B"/>
          <w:sz w:val="20"/>
          <w:szCs w:val="20"/>
        </w:rPr>
        <w:t xml:space="preserve">Decide where the equity sits before the first investor</w:t>
      </w:r>
    </w:p>
    <w:p>
      <w:pPr>
        <w:spacing w:after="60" w:line="264"/>
        <w:jc w:val="both"/>
      </w:pPr>
      <w:r>
        <w:rPr>
          <w:rFonts w:ascii="Calibri" w:cs="Calibri" w:eastAsia="Calibri" w:hAnsi="Calibri"/>
          <w:sz w:val="19"/>
          <w:szCs w:val="19"/>
        </w:rPr>
        <w:t xml:space="preserve">A mainland LLC makes share transfers, option schemes and founder vesting genuinely difficult. Groups raising investment normally place the equity at an ADGM, DIFC or offshore holdco. Retrofitting that after a round has closed is materially harder.</w:t>
      </w:r>
    </w:p>
    <w:p>
      <w:pPr>
        <w:keepNext/>
        <w:spacing w:after="40" w:before="140"/>
      </w:pPr>
      <w:r>
        <w:rPr>
          <w:rFonts w:ascii="Calibri" w:cs="Calibri" w:eastAsia="Calibri" w:hAnsi="Calibri"/>
          <w:b/>
          <w:bCs/>
          <w:color w:val="14161B"/>
          <w:sz w:val="20"/>
          <w:szCs w:val="20"/>
        </w:rPr>
        <w:t xml:space="preserve">Register for corporate tax even with no tax due</w:t>
      </w:r>
    </w:p>
    <w:p>
      <w:pPr>
        <w:spacing w:after="60" w:line="264"/>
        <w:jc w:val="both"/>
      </w:pPr>
      <w:r>
        <w:rPr>
          <w:rFonts w:ascii="Calibri" w:cs="Calibri" w:eastAsia="Calibri" w:hAnsi="Calibri"/>
          <w:sz w:val="19"/>
          <w:szCs w:val="19"/>
        </w:rPr>
        <w:t xml:space="preserve">Registration is mandatory regardless of expected liability, including for free zone entities and businesses claiming reliefs. It is the most common first-year compliance failure and it is entirely avoidable.</w:t>
      </w:r>
    </w:p>
    <w:p>
      <w:pPr>
        <w:keepNext/>
        <w:spacing w:after="40" w:before="140"/>
      </w:pPr>
      <w:r>
        <w:rPr>
          <w:rFonts w:ascii="Calibri" w:cs="Calibri" w:eastAsia="Calibri" w:hAnsi="Calibri"/>
          <w:b/>
          <w:bCs/>
          <w:color w:val="14161B"/>
          <w:sz w:val="20"/>
          <w:szCs w:val="20"/>
        </w:rPr>
        <w:t xml:space="preserve">Employees cannot start before the permit issues</w:t>
      </w:r>
    </w:p>
    <w:p>
      <w:pPr>
        <w:spacing w:after="60" w:line="264"/>
        <w:jc w:val="both"/>
      </w:pPr>
      <w:r>
        <w:rPr>
          <w:rFonts w:ascii="Calibri" w:cs="Calibri" w:eastAsia="Calibri" w:hAnsi="Calibri"/>
          <w:sz w:val="19"/>
          <w:szCs w:val="19"/>
        </w:rPr>
        <w:t xml:space="preserve">Business pressure to have someone begin informally during processing is common and unlawful. Set the start date from the permit, not the offer, and register the MOHRE contract within 14 days of permit approval.</w:t>
      </w:r>
    </w:p>
    <w:p>
      <w:pPr>
        <w:keepNext/>
        <w:spacing w:after="40" w:before="140"/>
      </w:pPr>
      <w:r>
        <w:rPr>
          <w:rFonts w:ascii="Calibri" w:cs="Calibri" w:eastAsia="Calibri" w:hAnsi="Calibri"/>
          <w:b/>
          <w:bCs/>
          <w:color w:val="14161B"/>
          <w:sz w:val="20"/>
          <w:szCs w:val="20"/>
        </w:rPr>
        <w:t xml:space="preserve">Test WPS before the first payroll</w:t>
      </w:r>
    </w:p>
    <w:p>
      <w:pPr>
        <w:spacing w:after="60" w:line="264"/>
        <w:jc w:val="both"/>
      </w:pPr>
      <w:r>
        <w:rPr>
          <w:rFonts w:ascii="Calibri" w:cs="Calibri" w:eastAsia="Calibri" w:hAnsi="Calibri"/>
          <w:sz w:val="19"/>
          <w:szCs w:val="19"/>
        </w:rPr>
        <w:t xml:space="preserve">No bank account means no WPS, and WPS breaches carry permit consequences from the first offence. Set it up and run a test before the first pay date rather than discovering a problem on the day.</w:t>
      </w:r>
    </w:p>
    <w:p>
      <w:pPr>
        <w:keepNext/>
        <w:spacing w:after="40" w:before="140"/>
      </w:pPr>
      <w:r>
        <w:rPr>
          <w:rFonts w:ascii="Calibri" w:cs="Calibri" w:eastAsia="Calibri" w:hAnsi="Calibri"/>
          <w:b/>
          <w:bCs/>
          <w:color w:val="14161B"/>
          <w:sz w:val="20"/>
          <w:szCs w:val="20"/>
        </w:rPr>
        <w:t xml:space="preserve">Build the compliance calendar in the first 90 days</w:t>
      </w:r>
    </w:p>
    <w:p>
      <w:pPr>
        <w:spacing w:after="60" w:line="264"/>
        <w:jc w:val="both"/>
      </w:pPr>
      <w:r>
        <w:rPr>
          <w:rFonts w:ascii="Calibri" w:cs="Calibri" w:eastAsia="Calibri" w:hAnsi="Calibri"/>
          <w:sz w:val="19"/>
          <w:szCs w:val="19"/>
        </w:rPr>
        <w:t xml:space="preserve">Licence, card, tenancy, permits and visas all renew, and each gates the next. Six-month reminders built while the dates are in front of you prevent the cascade that stops businesses in year two.</w:t>
      </w:r>
    </w:p>
    <w:p>
      <w:pPr>
        <w:keepNext/>
        <w:spacing w:after="40" w:before="140"/>
      </w:pPr>
      <w:r>
        <w:rPr>
          <w:rFonts w:ascii="Calibri" w:cs="Calibri" w:eastAsia="Calibri" w:hAnsi="Calibri"/>
          <w:b/>
          <w:bCs/>
          <w:color w:val="14161B"/>
          <w:sz w:val="20"/>
          <w:szCs w:val="20"/>
        </w:rPr>
        <w:t xml:space="preserve">Recalculate Emiratisation with every skilled hire</w:t>
      </w:r>
    </w:p>
    <w:p>
      <w:pPr>
        <w:spacing w:after="60" w:line="264"/>
        <w:jc w:val="both"/>
      </w:pPr>
      <w:r>
        <w:rPr>
          <w:rFonts w:ascii="Calibri" w:cs="Calibri" w:eastAsia="Calibri" w:hAnsi="Calibri"/>
          <w:sz w:val="19"/>
          <w:szCs w:val="19"/>
        </w:rPr>
        <w:t xml:space="preserve">On the mainland the target moves with the skilled workforce, so a company hiring through year one can fall out of compliance without losing anyone. Make the recalculation part of hiring approval.</w:t>
      </w:r>
    </w:p>
    <w:p>
      <w:pPr>
        <w:keepNext/>
        <w:spacing w:after="40" w:before="140"/>
      </w:pPr>
      <w:r>
        <w:rPr>
          <w:rFonts w:ascii="Calibri" w:cs="Calibri" w:eastAsia="Calibri" w:hAnsi="Calibri"/>
          <w:b/>
          <w:bCs/>
          <w:color w:val="14161B"/>
          <w:sz w:val="20"/>
          <w:szCs w:val="20"/>
        </w:rPr>
        <w:t xml:space="preserve">Free zone entities must track intra-group revenue</w:t>
      </w:r>
    </w:p>
    <w:p>
      <w:pPr>
        <w:spacing w:after="60" w:line="264"/>
        <w:jc w:val="both"/>
      </w:pPr>
      <w:r>
        <w:rPr>
          <w:rFonts w:ascii="Calibri" w:cs="Calibri" w:eastAsia="Calibri" w:hAnsi="Calibri"/>
          <w:sz w:val="19"/>
          <w:szCs w:val="19"/>
        </w:rPr>
        <w:t xml:space="preserve">Selling to a mainland affiliate is non-qualifying revenue counting against a de minimis of the lower of AED 5,000,000 or 5% of total. Found at year end it cannot be prevented; found monthly, one engagement can be restructured.</w:t>
      </w:r>
    </w:p>
    <w:p>
      <w:pPr>
        <w:keepNext/>
        <w:spacing w:after="40" w:before="140"/>
      </w:pPr>
      <w:r>
        <w:rPr>
          <w:rFonts w:ascii="Calibri" w:cs="Calibri" w:eastAsia="Calibri" w:hAnsi="Calibri"/>
          <w:b/>
          <w:bCs/>
          <w:color w:val="14161B"/>
          <w:sz w:val="20"/>
          <w:szCs w:val="20"/>
        </w:rPr>
        <w:t xml:space="preserve">Do not register a commercial agency without advice</w:t>
      </w:r>
    </w:p>
    <w:p>
      <w:pPr>
        <w:spacing w:after="60" w:line="264"/>
        <w:jc w:val="both"/>
      </w:pPr>
      <w:r>
        <w:rPr>
          <w:rFonts w:ascii="Calibri" w:cs="Calibri" w:eastAsia="Calibri" w:hAnsi="Calibri"/>
          <w:sz w:val="19"/>
          <w:szCs w:val="19"/>
        </w:rPr>
        <w:t xml:space="preserve">Registration gives the counterparty statutory exclusivity, constrained termination and compensation rights that no contract can displace. It is among the few decisions here that can be effectively irreversible.</w:t>
      </w:r>
    </w:p>
    <w:p>
      <w:pPr>
        <w:keepNext/>
        <w:spacing w:after="40" w:before="140"/>
      </w:pPr>
      <w:r>
        <w:rPr>
          <w:rFonts w:ascii="Calibri" w:cs="Calibri" w:eastAsia="Calibri" w:hAnsi="Calibri"/>
          <w:b/>
          <w:bCs/>
          <w:color w:val="14161B"/>
          <w:sz w:val="20"/>
          <w:szCs w:val="20"/>
        </w:rPr>
        <w:t xml:space="preserve">Keep records from day one</w:t>
      </w:r>
    </w:p>
    <w:p>
      <w:pPr>
        <w:spacing w:after="60" w:line="264"/>
        <w:jc w:val="both"/>
      </w:pPr>
      <w:r>
        <w:rPr>
          <w:rFonts w:ascii="Calibri" w:cs="Calibri" w:eastAsia="Calibri" w:hAnsi="Calibri"/>
          <w:sz w:val="19"/>
          <w:szCs w:val="19"/>
        </w:rPr>
        <w:t xml:space="preserve">Seven years for tax, permanently for corporate records. Companies reconstruct their constitutional history painfully at their first financing or sale, and gaps in the chain are genuinely difficult to remedy later.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Licensing procedures, ownership rules, tax registration deadlines, permit and quota requirements, Emiratisation targets and free zone rules all differ by emirate and zone and change — take UAE legal and tax advice before establishing, and confirm each step with the relevant authority.</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2026-08-23T16:28:33.669Z</dcterms:created>
  <dcterms:modified xsi:type="dcterms:W3CDTF">2026-08-23T16:28:33.669Z</dcterms:modified>
</cp:coreProperties>
</file>

<file path=docProps/custom.xml><?xml version="1.0" encoding="utf-8"?>
<Properties xmlns="http://schemas.openxmlformats.org/officeDocument/2006/custom-properties" xmlns:vt="http://schemas.openxmlformats.org/officeDocument/2006/docPropsVTypes"/>
</file>