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EXPENSES AND COMPANY MONEY</w:t>
      </w:r>
    </w:p>
    <w:p>
      <w:pPr>
        <w:spacing w:after="260"/>
        <w:jc w:val="center"/>
      </w:pPr>
      <w:r>
        <w:rPr>
          <w:rFonts w:ascii="Calibri" w:cs="Calibri" w:eastAsia="Calibri" w:hAnsi="Calibri"/>
          <w:i/>
          <w:iCs/>
          <w:color w:val="6E7480"/>
          <w:sz w:val="19"/>
          <w:szCs w:val="19"/>
        </w:rPr>
        <w:t xml:space="preserve">Claims, cards, approvals and the tax consequences</w:t>
      </w:r>
    </w:p>
    <w:p>
      <w:pPr>
        <w:spacing w:after="180" w:before="0" w:line="276"/>
        <w:jc w:val="both"/>
      </w:pPr>
      <w:r>
        <w:rPr>
          <w:rFonts w:ascii="Calibri" w:cs="Calibri" w:eastAsia="Calibri" w:hAnsi="Calibri"/>
          <w:i/>
          <w:iCs/>
          <w:color w:val="6E7480"/>
          <w:sz w:val="21"/>
          <w:szCs w:val="21"/>
        </w:rPr>
        <w:t xml:space="preserve">An expenses policy in the UAE carries two consequences most policies ignore. </w:t>
      </w:r>
      <w:r>
        <w:rPr>
          <w:rFonts w:ascii="Calibri" w:cs="Calibri" w:eastAsia="Calibri" w:hAnsi="Calibri"/>
          <w:b/>
          <w:bCs/>
          <w:i/>
          <w:iCs/>
          <w:color w:val="6E7480"/>
          <w:sz w:val="21"/>
          <w:szCs w:val="21"/>
        </w:rPr>
        <w:t xml:space="preserve">VAT on entertainment and certain employee costs is generally blocked</w:t>
      </w:r>
      <w:r>
        <w:rPr>
          <w:rFonts w:ascii="Calibri" w:cs="Calibri" w:eastAsia="Calibri" w:hAnsi="Calibri"/>
          <w:i/>
          <w:iCs/>
          <w:color w:val="6E7480"/>
          <w:sz w:val="21"/>
          <w:szCs w:val="21"/>
        </w:rPr>
        <w:t xml:space="preserve"> from recovery, and </w:t>
      </w:r>
      <w:r>
        <w:rPr>
          <w:rFonts w:ascii="Calibri" w:cs="Calibri" w:eastAsia="Calibri" w:hAnsi="Calibri"/>
          <w:b/>
          <w:bCs/>
          <w:i/>
          <w:iCs/>
          <w:color w:val="6E7480"/>
          <w:sz w:val="21"/>
          <w:szCs w:val="21"/>
        </w:rPr>
        <w:t xml:space="preserve">expenditure not wholly for the business is disallowed</w:t>
      </w:r>
      <w:r>
        <w:rPr>
          <w:rFonts w:ascii="Calibri" w:cs="Calibri" w:eastAsia="Calibri" w:hAnsi="Calibri"/>
          <w:i/>
          <w:iCs/>
          <w:color w:val="6E7480"/>
          <w:sz w:val="21"/>
          <w:szCs w:val="21"/>
        </w:rPr>
        <w:t xml:space="preserve"> for corporate tax. What looks like an administrative policy is a tax control.</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cantSplit/>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w:t>
            </w:r>
            <w:r>
              <w:rPr>
                <w:rFonts w:ascii="Calibri" w:cs="Calibri" w:eastAsia="Calibri" w:hAnsi="Calibri"/>
                <w:b/>
                <w:bCs/>
                <w:sz w:val="19"/>
                <w:szCs w:val="19"/>
              </w:rPr>
              <w:t xml:space="preserve">[licence]</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VAT registered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r>
              <w:rPr>
                <w:rFonts w:ascii="Calibri" w:cs="Calibri" w:eastAsia="Calibri" w:hAnsi="Calibri"/>
                <w:sz w:val="19"/>
                <w:szCs w:val="19"/>
              </w:rPr>
              <w:t xml:space="preserve"> — TRN </w:t>
            </w:r>
            <w:r>
              <w:rPr>
                <w:rFonts w:ascii="Calibri" w:cs="Calibri" w:eastAsia="Calibri" w:hAnsi="Calibri"/>
                <w:b/>
                <w:bCs/>
                <w:sz w:val="19"/>
                <w:szCs w:val="19"/>
              </w:rPr>
              <w:t xml:space="preserve">[NUMBER]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Corporate tax registered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[TRN]</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Claims submitted through</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[SYSTEM]</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Approval limits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 the delegated authority matrix]</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Reimbursement run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[Monthly with payroll / weekly]</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 cards issued to</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[ROLES]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Policy owner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Version and date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w:t>
            </w: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THE PRINCIPLE</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The Company reimburses expenditure </w:t>
      </w:r>
      <w:r>
        <w:rPr>
          <w:rFonts w:ascii="Calibri" w:cs="Calibri" w:eastAsia="Calibri" w:hAnsi="Calibri"/>
          <w:b/>
          <w:bCs/>
          <w:sz w:val="21"/>
          <w:szCs w:val="21"/>
        </w:rPr>
        <w:t xml:space="preserve">necessarily incurred wholly and exclusively for the business</w:t>
      </w:r>
      <w:r>
        <w:rPr>
          <w:rFonts w:ascii="Calibri" w:cs="Calibri" w:eastAsia="Calibri" w:hAnsi="Calibri"/>
          <w:sz w:val="21"/>
          <w:szCs w:val="21"/>
        </w:rPr>
        <w:t xml:space="preserve">, properly approved, and supported by a valid receipt.</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Expenditure that is personal, excessive or unsupported is not reimbursed.</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i/>
          <w:iCs/>
          <w:sz w:val="21"/>
          <w:szCs w:val="21"/>
        </w:rPr>
        <w:t xml:space="preserve">The phrase in Clause 1.1 is not decoration. Expenditure not wholly for the business is disallowed for corporate tax, and the reimbursement policy is where that discipline is actually applied.</w:t>
      </w:r>
    </w:p>
    <w:p>
      <w:pPr>
        <w:keepNext/>
        <w:spacing w:after="120" w:before="280"/>
        <w:outlineLvl w:val="0"/>
      </w:pPr>
      <w:r>
        <w:rPr>
          <w:rFonts w:ascii="Calibri" w:cs="Calibri" w:eastAsia="Calibri" w:hAnsi="Calibri"/>
          <w:b/>
          <w:bCs/>
          <w:color w:val="14161B"/>
          <w:sz w:val="22"/>
          <w:szCs w:val="22"/>
        </w:rPr>
        <w:t xml:space="preserve">2. WHAT IS REIMBURSED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3855"/>
        <w:gridCol w:w="2892"/>
      </w:tblGrid>
      <w:tr>
        <w:trPr>
          <w:cantSplit/>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Category</w:t>
            </w:r>
          </w:p>
        </w:tc>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Position</w:t>
            </w:r>
          </w:p>
        </w:tc>
        <w:tc>
          <w:tcPr>
            <w:tcW w:type="dxa" w:w="289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Evidence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Business travel — flights, hotels</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[Approved class and rate]</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Invoice and booking</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Local transport for business</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Actual cost</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Receipt</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Client entertainment</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Reimbursed — but see Section 4 on VAT and tax</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Receipt naming the client and purpose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Staff meals during business travel</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[Within a daily limit]</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Receipt</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Business communications</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Actual or allowance</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Bill</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Professional subscriptions relevant to the role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[With approval]</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Invoice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Training approved in advance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Actual cost</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Invoice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Business use of a personal vehicle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[Rate per kilometre]</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Log</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Employer costs — visa, permit, medical, Emirates ID</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Paid by the Company directly — never claimed from the employee</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Commuting</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 reimbursed</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Personal items, fines, penalties</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 reimbursed</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[Traffic fines on company vehicles]</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[Recovered from the driver where lawful]</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Fine notice</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b/>
          <w:bCs/>
          <w:sz w:val="21"/>
          <w:szCs w:val="21"/>
        </w:rPr>
        <w:t xml:space="preserve">Fines and penalties are never reimbursed and are not deductible.</w:t>
      </w:r>
      <w:r>
        <w:rPr>
          <w:rFonts w:ascii="Calibri" w:cs="Calibri" w:eastAsia="Calibri" w:hAnsi="Calibri"/>
          <w:sz w:val="21"/>
          <w:szCs w:val="21"/>
        </w:rPr>
        <w:t xml:space="preserve"> Paying an employee’s traffic fine and booking it as an expense is both a policy breach and a disallowed deduction.</w:t>
      </w:r>
    </w:p>
    <w:p>
      <w:pPr>
        <w:keepNext/>
        <w:spacing w:after="120" w:before="280"/>
        <w:outlineLvl w:val="0"/>
      </w:pPr>
      <w:r>
        <w:rPr>
          <w:rFonts w:ascii="Calibri" w:cs="Calibri" w:eastAsia="Calibri" w:hAnsi="Calibri"/>
          <w:b/>
          <w:bCs/>
          <w:color w:val="14161B"/>
          <w:sz w:val="22"/>
          <w:szCs w:val="22"/>
        </w:rPr>
        <w:t xml:space="preserve">3. MAKING A CLAIM</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433"/>
        <w:gridCol w:w="4820"/>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Requirement</w:t>
            </w:r>
          </w:p>
        </w:tc>
        <w:tc>
          <w:tcPr>
            <w:tcW w:type="dxa" w:w="48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Submit within </w:t>
            </w:r>
            <w:r>
              <w:rPr>
                <w:rFonts w:ascii="Calibri" w:cs="Calibri" w:eastAsia="Calibri" w:hAnsi="Calibri"/>
                <w:b/>
                <w:bCs/>
                <w:sz w:val="17"/>
                <w:szCs w:val="17"/>
              </w:rPr>
              <w:t xml:space="preserve">[30]</w:t>
            </w:r>
            <w:r>
              <w:rPr>
                <w:rFonts w:ascii="Calibri" w:cs="Calibri" w:eastAsia="Calibri" w:hAnsi="Calibri"/>
                <w:sz w:val="17"/>
                <w:szCs w:val="17"/>
              </w:rPr>
              <w:t xml:space="preserve"> days of incurring</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Late claims may be refused</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Original valid tax invoice or receipt</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card slip alone is not a tax invoice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Business purpose stated</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For entertainment, name the client and the reason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Approved by the authorised approver</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 by the claimant, and not by a subordinate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Correct cost centre and expense category</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Drives the tax treatment</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Currency and conversion rate where foreign</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Use the required rate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Company card transactions reconciled with receipts</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Monthly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Reimbursed through payroll or bank transfer</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 in cash</w:t>
            </w:r>
          </w:p>
        </w:tc>
      </w:tr>
    </w:tbl>
    <w:p>
      <w:pPr>
        <w:spacing w:after="140"/>
      </w:pP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b/>
          <w:bCs/>
          <w:sz w:val="21"/>
          <w:szCs w:val="21"/>
        </w:rPr>
        <w:t xml:space="preserve">A card slip is not a tax invoice.</w:t>
      </w:r>
      <w:r>
        <w:rPr>
          <w:rFonts w:ascii="Calibri" w:cs="Calibri" w:eastAsia="Calibri" w:hAnsi="Calibri"/>
          <w:sz w:val="21"/>
          <w:szCs w:val="21"/>
        </w:rPr>
        <w:t xml:space="preserve"> To recover input VAT the Company needs a valid tax invoice with the supplier’s TRN, the VAT amount in dirhams and the other required particulars. Claims supported only by a card slip lose the VAT.</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b/>
          <w:bCs/>
          <w:sz w:val="21"/>
          <w:szCs w:val="21"/>
        </w:rPr>
        <w:t xml:space="preserve">Nobody approves their own expenses</w:t>
      </w:r>
      <w:r>
        <w:rPr>
          <w:rFonts w:ascii="Calibri" w:cs="Calibri" w:eastAsia="Calibri" w:hAnsi="Calibri"/>
          <w:sz w:val="21"/>
          <w:szCs w:val="21"/>
        </w:rPr>
        <w:t xml:space="preserve">, and nobody’s expenses are approved by someone reporting to them. Where the claimant is the most senior person, a second approver is nominated.</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VAT AND CORPORATE TAX</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2891"/>
        <w:gridCol w:w="2892"/>
      </w:tblGrid>
      <w:tr>
        <w:trPr>
          <w:cantSplit/>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Input VAT</w:t>
            </w:r>
          </w:p>
        </w:tc>
        <w:tc>
          <w:tcPr>
            <w:tcW w:type="dxa" w:w="289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Corporate tax</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Ordinary business expenditure with a valid tax invoice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Recoverable</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Deductible</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Entertainment</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Generally blocked</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Partly disallowed</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Motor vehicles available for personal use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Generally blocked</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[Apportioned]</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Certain employee-related costs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Generally blocked</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[Depends]</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Expenditure without a valid tax invoice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 recoverable</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May still be deductible if evidenced</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Fines and penalties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 recoverable</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 deductible</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Expenditure not wholly for the business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 recoverable</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 deductible</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Payments to connected persons above market value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[Depends]</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Disallowed to the excess</w:t>
            </w:r>
          </w:p>
        </w:tc>
      </w:tr>
    </w:tbl>
    <w:p>
      <w:pPr>
        <w:spacing w:after="140"/>
      </w:pP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i/>
          <w:iCs/>
          <w:sz w:val="21"/>
          <w:szCs w:val="21"/>
        </w:rPr>
        <w:t xml:space="preserve">Blocked input VAT recovered in error is a systematic rather than occasional mistake — it repeats every period until found, so an assessment covers all of them. Code entertainment and vehicle costs to categories that are excluded from recovery by default.</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b/>
          <w:bCs/>
          <w:sz w:val="21"/>
          <w:szCs w:val="21"/>
        </w:rPr>
        <w:t xml:space="preserve">Confirm the current blocked categories with the FTA.</w:t>
      </w:r>
      <w:r>
        <w:rPr>
          <w:rFonts w:ascii="Calibri" w:cs="Calibri" w:eastAsia="Calibri" w:hAnsi="Calibri"/>
          <w:sz w:val="21"/>
          <w:szCs w:val="21"/>
        </w:rPr>
        <w:t xml:space="preserve"> The treatment of employee-related costs in particular has developed and is not intuitive.</w:t>
      </w:r>
    </w:p>
    <w:p>
      <w:pPr>
        <w:keepNext/>
        <w:spacing w:after="120" w:before="280"/>
        <w:outlineLvl w:val="0"/>
      </w:pPr>
      <w:r>
        <w:rPr>
          <w:rFonts w:ascii="Calibri" w:cs="Calibri" w:eastAsia="Calibri" w:hAnsi="Calibri"/>
          <w:b/>
          <w:bCs/>
          <w:color w:val="14161B"/>
          <w:sz w:val="22"/>
          <w:szCs w:val="22"/>
        </w:rPr>
        <w:t xml:space="preserve">5. COMPANY CARDS</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Cards are issued to </w:t>
      </w:r>
      <w:r>
        <w:rPr>
          <w:rFonts w:ascii="Calibri" w:cs="Calibri" w:eastAsia="Calibri" w:hAnsi="Calibri"/>
          <w:b/>
          <w:bCs/>
          <w:sz w:val="21"/>
          <w:szCs w:val="21"/>
        </w:rPr>
        <w:t xml:space="preserve">[ROLES]</w:t>
      </w:r>
      <w:r>
        <w:rPr>
          <w:rFonts w:ascii="Calibri" w:cs="Calibri" w:eastAsia="Calibri" w:hAnsi="Calibri"/>
          <w:sz w:val="21"/>
          <w:szCs w:val="21"/>
        </w:rPr>
        <w:t xml:space="preserve"> for business expenditure only, with a limit of </w:t>
      </w:r>
      <w:r>
        <w:rPr>
          <w:rFonts w:ascii="Calibri" w:cs="Calibri" w:eastAsia="Calibri" w:hAnsi="Calibri"/>
          <w:b/>
          <w:bCs/>
          <w:sz w:val="21"/>
          <w:szCs w:val="21"/>
        </w:rPr>
        <w:t xml:space="preserve">AED </w:t>
      </w:r>
      <w:r>
        <w:rPr>
          <w:rFonts w:ascii="Calibri" w:cs="Calibri" w:eastAsia="Calibri" w:hAnsi="Calibri"/>
          <w:b/>
          <w:bCs/>
          <w:sz w:val="21"/>
          <w:szCs w:val="21"/>
        </w:rPr>
        <w:t xml:space="preserve">[AMOUNT]</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The cardholder is responsible for every transaction and for submitting receipts within </w:t>
      </w:r>
      <w:r>
        <w:rPr>
          <w:rFonts w:ascii="Calibri" w:cs="Calibri" w:eastAsia="Calibri" w:hAnsi="Calibri"/>
          <w:b/>
          <w:bCs/>
          <w:sz w:val="21"/>
          <w:szCs w:val="21"/>
        </w:rPr>
        <w:t xml:space="preserve">[15]</w:t>
      </w:r>
      <w:r>
        <w:rPr>
          <w:rFonts w:ascii="Calibri" w:cs="Calibri" w:eastAsia="Calibri" w:hAnsi="Calibri"/>
          <w:sz w:val="21"/>
          <w:szCs w:val="21"/>
        </w:rPr>
        <w:t xml:space="preserve"> days.</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Personal use is not permitted. Where a personal transaction occurs in error, it is repaid immediately.</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Cards are cancelled on the last working day, and the account reconciled before the final settlement.</w:t>
      </w:r>
    </w:p>
    <w:p>
      <w:pPr>
        <w:spacing w:after="120" w:before="60" w:line="276"/>
        <w:ind w:left="720" w:hanging="720"/>
        <w:jc w:val="both"/>
      </w:pPr>
      <w:r>
        <w:rPr>
          <w:rFonts w:ascii="Calibri" w:cs="Calibri" w:eastAsia="Calibri" w:hAnsi="Calibri"/>
          <w:sz w:val="21"/>
          <w:szCs w:val="21"/>
        </w:rPr>
        <w:t xml:space="preserve">5.5	</w:t>
      </w:r>
      <w:r>
        <w:rPr>
          <w:rFonts w:ascii="Calibri" w:cs="Calibri" w:eastAsia="Calibri" w:hAnsi="Calibri"/>
          <w:i/>
          <w:iCs/>
          <w:sz w:val="21"/>
          <w:szCs w:val="21"/>
        </w:rPr>
        <w:t xml:space="preserve">Include card cancellation in the leaver checklist alongside bank mandates and system access. A live card held by a former employee is the same class of failure as a live bank mandate.</w:t>
      </w:r>
    </w:p>
    <w:p>
      <w:pPr>
        <w:keepNext/>
        <w:spacing w:after="120" w:before="280"/>
        <w:outlineLvl w:val="0"/>
      </w:pPr>
      <w:r>
        <w:rPr>
          <w:rFonts w:ascii="Calibri" w:cs="Calibri" w:eastAsia="Calibri" w:hAnsi="Calibri"/>
          <w:b/>
          <w:bCs/>
          <w:color w:val="14161B"/>
          <w:sz w:val="22"/>
          <w:szCs w:val="22"/>
        </w:rPr>
        <w:t xml:space="preserve">6. ADVANCES AND PETTY CASH</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Advances are given only where genuinely necessary, approved in advance, and reconciled within </w:t>
      </w:r>
      <w:r>
        <w:rPr>
          <w:rFonts w:ascii="Calibri" w:cs="Calibri" w:eastAsia="Calibri" w:hAnsi="Calibri"/>
          <w:b/>
          <w:bCs/>
          <w:sz w:val="21"/>
          <w:szCs w:val="21"/>
        </w:rPr>
        <w:t xml:space="preserve">[15]</w:t>
      </w:r>
      <w:r>
        <w:rPr>
          <w:rFonts w:ascii="Calibri" w:cs="Calibri" w:eastAsia="Calibri" w:hAnsi="Calibri"/>
          <w:sz w:val="21"/>
          <w:szCs w:val="21"/>
        </w:rPr>
        <w:t xml:space="preserve"> days of return with receipts and any balance repaid.</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An employee with an unreconciled advance receives no further advance.</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b/>
          <w:bCs/>
          <w:sz w:val="21"/>
          <w:szCs w:val="21"/>
        </w:rPr>
        <w:t xml:space="preserve">[Where petty cash is held]</w:t>
      </w:r>
      <w:r>
        <w:rPr>
          <w:rFonts w:ascii="Calibri" w:cs="Calibri" w:eastAsia="Calibri" w:hAnsi="Calibri"/>
          <w:sz w:val="21"/>
          <w:szCs w:val="21"/>
        </w:rPr>
        <w:t xml:space="preserve"> Petty cash is held by </w:t>
      </w:r>
      <w:r>
        <w:rPr>
          <w:rFonts w:ascii="Calibri" w:cs="Calibri" w:eastAsia="Calibri" w:hAnsi="Calibri"/>
          <w:b/>
          <w:bCs/>
          <w:sz w:val="21"/>
          <w:szCs w:val="21"/>
        </w:rPr>
        <w:t xml:space="preserve">[ROLE]</w:t>
      </w:r>
      <w:r>
        <w:rPr>
          <w:rFonts w:ascii="Calibri" w:cs="Calibri" w:eastAsia="Calibri" w:hAnsi="Calibri"/>
          <w:sz w:val="21"/>
          <w:szCs w:val="21"/>
        </w:rPr>
        <w:t xml:space="preserve">, limited to </w:t>
      </w:r>
      <w:r>
        <w:rPr>
          <w:rFonts w:ascii="Calibri" w:cs="Calibri" w:eastAsia="Calibri" w:hAnsi="Calibri"/>
          <w:b/>
          <w:bCs/>
          <w:sz w:val="21"/>
          <w:szCs w:val="21"/>
        </w:rPr>
        <w:t xml:space="preserve">AED </w:t>
      </w:r>
      <w:r>
        <w:rPr>
          <w:rFonts w:ascii="Calibri" w:cs="Calibri" w:eastAsia="Calibri" w:hAnsi="Calibri"/>
          <w:b/>
          <w:bCs/>
          <w:sz w:val="21"/>
          <w:szCs w:val="21"/>
        </w:rPr>
        <w:t xml:space="preserve">[AMOUNT]</w:t>
      </w:r>
      <w:r>
        <w:rPr>
          <w:rFonts w:ascii="Calibri" w:cs="Calibri" w:eastAsia="Calibri" w:hAnsi="Calibri"/>
          <w:sz w:val="21"/>
          <w:szCs w:val="21"/>
        </w:rPr>
        <w:t xml:space="preserve">, counted </w:t>
      </w:r>
      <w:r>
        <w:rPr>
          <w:rFonts w:ascii="Calibri" w:cs="Calibri" w:eastAsia="Calibri" w:hAnsi="Calibri"/>
          <w:b/>
          <w:bCs/>
          <w:sz w:val="21"/>
          <w:szCs w:val="21"/>
        </w:rPr>
        <w:t xml:space="preserve">[monthly]</w:t>
      </w:r>
      <w:r>
        <w:rPr>
          <w:rFonts w:ascii="Calibri" w:cs="Calibri" w:eastAsia="Calibri" w:hAnsi="Calibri"/>
          <w:sz w:val="21"/>
          <w:szCs w:val="21"/>
        </w:rPr>
        <w:t xml:space="preserve"> by someone other than the holder, and supported by receipts for every disbursement.</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i/>
          <w:iCs/>
          <w:sz w:val="21"/>
          <w:szCs w:val="21"/>
        </w:rPr>
        <w:t xml:space="preserve">An unreconciled advance sitting on an employee’s account for months is a loan in substance. On departure it must be recovered before the final settlement, and it should be identified long before then.</w:t>
      </w:r>
    </w:p>
    <w:p>
      <w:pPr>
        <w:keepNext/>
        <w:spacing w:after="120" w:before="280"/>
        <w:outlineLvl w:val="0"/>
      </w:pPr>
      <w:r>
        <w:rPr>
          <w:rFonts w:ascii="Calibri" w:cs="Calibri" w:eastAsia="Calibri" w:hAnsi="Calibri"/>
          <w:b/>
          <w:bCs/>
          <w:color w:val="14161B"/>
          <w:sz w:val="22"/>
          <w:szCs w:val="22"/>
        </w:rPr>
        <w:t xml:space="preserve">7. CONTROLS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6264"/>
        <w:gridCol w:w="2893"/>
      </w:tblGrid>
      <w:tr>
        <w:trPr>
          <w:cantSplit/>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626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Control</w:t>
            </w:r>
          </w:p>
        </w:tc>
        <w:tc>
          <w:tcPr>
            <w:tcW w:type="dxa" w:w="289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Frequency</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62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Claims checked against receipts before payment</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Every claim</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62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Approver is authorised and independent of the claimant</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Every claim</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62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Company card statements reconciled to receipts</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Monthly</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62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Blocked VAT categories reviewed for wrongly recovered input tax</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Quarterly</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62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Outstanding advances reviewed and chased</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Monthly</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62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Petty cash counted by an independent person</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Monthly</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62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Expenditure patterns reviewed for anomalies</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Quarterly</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62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Policy limits reviewed against actual cost</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Annually</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62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Records retained for </w:t>
            </w:r>
            <w:r>
              <w:rPr>
                <w:rFonts w:ascii="Calibri" w:cs="Calibri" w:eastAsia="Calibri" w:hAnsi="Calibri"/>
                <w:b/>
                <w:bCs/>
                <w:sz w:val="18"/>
                <w:szCs w:val="18"/>
              </w:rPr>
              <w:t xml:space="preserve">seven years</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Ongoing</w:t>
            </w:r>
          </w:p>
        </w:tc>
      </w:tr>
    </w:tbl>
    <w:p>
      <w:pPr>
        <w:spacing w:after="160"/>
      </w:pPr>
    </w:p>
    <w:p>
      <w:pPr>
        <w:spacing w:after="140" w:before="0" w:line="276"/>
        <w:jc w:val="both"/>
      </w:pPr>
      <w:r>
        <w:rPr>
          <w:rFonts w:ascii="Calibri" w:cs="Calibri" w:eastAsia="Calibri" w:hAnsi="Calibri"/>
          <w:b/>
          <w:bCs/>
          <w:sz w:val="21"/>
          <w:szCs w:val="21"/>
        </w:rPr>
        <w:t xml:space="preserve">Acknowledgement.</w:t>
      </w:r>
      <w:r>
        <w:rPr>
          <w:rFonts w:ascii="Calibri" w:cs="Calibri" w:eastAsia="Calibri" w:hAnsi="Calibri"/>
          <w:sz w:val="21"/>
          <w:szCs w:val="21"/>
        </w:rPr>
        <w:t xml:space="preserve"> I confirm I have received this policy and understand what I may claim and what evidence is required.</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For </w:t>
            </w:r>
            <w:r>
              <w:rPr>
                <w:rFonts w:ascii="Calibri" w:cs="Calibri" w:eastAsia="Calibri" w:hAnsi="Calibri"/>
                <w:b/>
                <w:bCs/>
                <w:sz w:val="21"/>
                <w:szCs w:val="21"/>
              </w:rPr>
              <w:t xml:space="preserve">[COMPANY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This is a tax control, not an admin policy</w:t>
      </w:r>
    </w:p>
    <w:p>
      <w:pPr>
        <w:spacing w:after="60" w:line="264"/>
        <w:jc w:val="both"/>
      </w:pPr>
      <w:r>
        <w:rPr>
          <w:rFonts w:ascii="Calibri" w:cs="Calibri" w:eastAsia="Calibri" w:hAnsi="Calibri"/>
          <w:sz w:val="19"/>
          <w:szCs w:val="19"/>
        </w:rPr>
        <w:t xml:space="preserve">Expenditure not wholly and exclusively for the business is disallowed for corporate tax, and input VAT on entertainment, vehicles available for personal use and certain employee costs is generally blocked. The expenses policy is where both disciplines are actually applied, transaction by transaction.</w:t>
      </w:r>
    </w:p>
    <w:p>
      <w:pPr>
        <w:keepNext/>
        <w:spacing w:after="40" w:before="140"/>
      </w:pPr>
      <w:r>
        <w:rPr>
          <w:rFonts w:ascii="Calibri" w:cs="Calibri" w:eastAsia="Calibri" w:hAnsi="Calibri"/>
          <w:b/>
          <w:bCs/>
          <w:color w:val="14161B"/>
          <w:sz w:val="20"/>
          <w:szCs w:val="20"/>
        </w:rPr>
        <w:t xml:space="preserve">A card slip is not a tax invoice</w:t>
      </w:r>
    </w:p>
    <w:p>
      <w:pPr>
        <w:spacing w:after="60" w:line="264"/>
        <w:jc w:val="both"/>
      </w:pPr>
      <w:r>
        <w:rPr>
          <w:rFonts w:ascii="Calibri" w:cs="Calibri" w:eastAsia="Calibri" w:hAnsi="Calibri"/>
          <w:sz w:val="19"/>
          <w:szCs w:val="19"/>
        </w:rPr>
        <w:t xml:space="preserve">Input VAT recovery requires a valid tax invoice with the supplier’s TRN, the VAT amount in dirhams and the other required particulars. Claims supported only by a card receipt lose the VAT permanently. Say so in the policy so staff ask for the right document at the time.</w:t>
      </w:r>
    </w:p>
    <w:p>
      <w:pPr>
        <w:keepNext/>
        <w:spacing w:after="40" w:before="140"/>
      </w:pPr>
      <w:r>
        <w:rPr>
          <w:rFonts w:ascii="Calibri" w:cs="Calibri" w:eastAsia="Calibri" w:hAnsi="Calibri"/>
          <w:b/>
          <w:bCs/>
          <w:color w:val="14161B"/>
          <w:sz w:val="20"/>
          <w:szCs w:val="20"/>
        </w:rPr>
        <w:t xml:space="preserve">Blocked VAT errors are systematic</w:t>
      </w:r>
    </w:p>
    <w:p>
      <w:pPr>
        <w:spacing w:after="60" w:line="264"/>
        <w:jc w:val="both"/>
      </w:pPr>
      <w:r>
        <w:rPr>
          <w:rFonts w:ascii="Calibri" w:cs="Calibri" w:eastAsia="Calibri" w:hAnsi="Calibri"/>
          <w:sz w:val="19"/>
          <w:szCs w:val="19"/>
        </w:rPr>
        <w:t xml:space="preserve">Recovering input tax on entertainment or personal-use vehicles is not an occasional slip — it repeats every period until found, so an assessment covers all of them. Code those categories so they are excluded from recovery by default rather than relying on review.</w:t>
      </w:r>
    </w:p>
    <w:p>
      <w:pPr>
        <w:keepNext/>
        <w:spacing w:after="40" w:before="140"/>
      </w:pPr>
      <w:r>
        <w:rPr>
          <w:rFonts w:ascii="Calibri" w:cs="Calibri" w:eastAsia="Calibri" w:hAnsi="Calibri"/>
          <w:b/>
          <w:bCs/>
          <w:color w:val="14161B"/>
          <w:sz w:val="20"/>
          <w:szCs w:val="20"/>
        </w:rPr>
        <w:t xml:space="preserve">Confirm the blocked categories</w:t>
      </w:r>
    </w:p>
    <w:p>
      <w:pPr>
        <w:spacing w:after="60" w:line="264"/>
        <w:jc w:val="both"/>
      </w:pPr>
      <w:r>
        <w:rPr>
          <w:rFonts w:ascii="Calibri" w:cs="Calibri" w:eastAsia="Calibri" w:hAnsi="Calibri"/>
          <w:sz w:val="19"/>
          <w:szCs w:val="19"/>
        </w:rPr>
        <w:t xml:space="preserve">The treatment of employee-related costs has developed and is not intuitive. Confirm the current position with the FTA or an adviser rather than working from a list assembled when VAT was introduced.</w:t>
      </w:r>
    </w:p>
    <w:p>
      <w:pPr>
        <w:keepNext/>
        <w:spacing w:after="40" w:before="140"/>
      </w:pPr>
      <w:r>
        <w:rPr>
          <w:rFonts w:ascii="Calibri" w:cs="Calibri" w:eastAsia="Calibri" w:hAnsi="Calibri"/>
          <w:b/>
          <w:bCs/>
          <w:color w:val="14161B"/>
          <w:sz w:val="20"/>
          <w:szCs w:val="20"/>
        </w:rPr>
        <w:t xml:space="preserve">Fines are never reimbursed and never deductible</w:t>
      </w:r>
    </w:p>
    <w:p>
      <w:pPr>
        <w:spacing w:after="60" w:line="264"/>
        <w:jc w:val="both"/>
      </w:pPr>
      <w:r>
        <w:rPr>
          <w:rFonts w:ascii="Calibri" w:cs="Calibri" w:eastAsia="Calibri" w:hAnsi="Calibri"/>
          <w:sz w:val="19"/>
          <w:szCs w:val="19"/>
        </w:rPr>
        <w:t xml:space="preserve">Paying an employee’s traffic fine and booking it as an expense is a policy breach and a disallowed deduction. Where fines on company vehicles are recovered from the driver, confirm the recovery is lawful and within deduction limits.</w:t>
      </w:r>
    </w:p>
    <w:p>
      <w:pPr>
        <w:keepNext/>
        <w:spacing w:after="40" w:before="140"/>
      </w:pPr>
      <w:r>
        <w:rPr>
          <w:rFonts w:ascii="Calibri" w:cs="Calibri" w:eastAsia="Calibri" w:hAnsi="Calibri"/>
          <w:b/>
          <w:bCs/>
          <w:color w:val="14161B"/>
          <w:sz w:val="20"/>
          <w:szCs w:val="20"/>
        </w:rPr>
        <w:t xml:space="preserve">Employer costs are not expenses at all</w:t>
      </w:r>
    </w:p>
    <w:p>
      <w:pPr>
        <w:spacing w:after="60" w:line="264"/>
        <w:jc w:val="both"/>
      </w:pPr>
      <w:r>
        <w:rPr>
          <w:rFonts w:ascii="Calibri" w:cs="Calibri" w:eastAsia="Calibri" w:hAnsi="Calibri"/>
          <w:sz w:val="19"/>
          <w:szCs w:val="19"/>
        </w:rPr>
        <w:t xml:space="preserve">Visa, permit, medical, Emirates ID and recruitment costs are paid by the Company directly and can never be claimed from or recovered from an employee. They should not appear in an expenses system as something an employee could be asked to fund and reclaim.</w:t>
      </w:r>
    </w:p>
    <w:p>
      <w:pPr>
        <w:keepNext/>
        <w:spacing w:after="40" w:before="140"/>
      </w:pPr>
      <w:r>
        <w:rPr>
          <w:rFonts w:ascii="Calibri" w:cs="Calibri" w:eastAsia="Calibri" w:hAnsi="Calibri"/>
          <w:b/>
          <w:bCs/>
          <w:color w:val="14161B"/>
          <w:sz w:val="20"/>
          <w:szCs w:val="20"/>
        </w:rPr>
        <w:t xml:space="preserve">Nobody approves their own claim</w:t>
      </w:r>
    </w:p>
    <w:p>
      <w:pPr>
        <w:spacing w:after="60" w:line="264"/>
        <w:jc w:val="both"/>
      </w:pPr>
      <w:r>
        <w:rPr>
          <w:rFonts w:ascii="Calibri" w:cs="Calibri" w:eastAsia="Calibri" w:hAnsi="Calibri"/>
          <w:sz w:val="19"/>
          <w:szCs w:val="19"/>
        </w:rPr>
        <w:t xml:space="preserve">And nobody’s claim is approved by someone who reports to them. Where the claimant is the most senior person in the entity, nominate a second approver — a shareholder, a non-executive, or the auditor. Self-approval at the top is the most common control gap in owner-managed companies.</w:t>
      </w:r>
    </w:p>
    <w:p>
      <w:pPr>
        <w:keepNext/>
        <w:spacing w:after="40" w:before="140"/>
      </w:pPr>
      <w:r>
        <w:rPr>
          <w:rFonts w:ascii="Calibri" w:cs="Calibri" w:eastAsia="Calibri" w:hAnsi="Calibri"/>
          <w:b/>
          <w:bCs/>
          <w:color w:val="14161B"/>
          <w:sz w:val="20"/>
          <w:szCs w:val="20"/>
        </w:rPr>
        <w:t xml:space="preserve">Name the client for entertainment</w:t>
      </w:r>
    </w:p>
    <w:p>
      <w:pPr>
        <w:spacing w:after="60" w:line="264"/>
        <w:jc w:val="both"/>
      </w:pPr>
      <w:r>
        <w:rPr>
          <w:rFonts w:ascii="Calibri" w:cs="Calibri" w:eastAsia="Calibri" w:hAnsi="Calibri"/>
          <w:sz w:val="19"/>
          <w:szCs w:val="19"/>
        </w:rPr>
        <w:t xml:space="preserve">A receipt with no business purpose recorded is indistinguishable from a personal meal, both to the approver and to an inspector. Requiring the client name and the reason takes seconds and is the difference between a documented and an undocumented deduction.</w:t>
      </w:r>
    </w:p>
    <w:p>
      <w:pPr>
        <w:keepNext/>
        <w:spacing w:after="40" w:before="140"/>
      </w:pPr>
      <w:r>
        <w:rPr>
          <w:rFonts w:ascii="Calibri" w:cs="Calibri" w:eastAsia="Calibri" w:hAnsi="Calibri"/>
          <w:b/>
          <w:bCs/>
          <w:color w:val="14161B"/>
          <w:sz w:val="20"/>
          <w:szCs w:val="20"/>
        </w:rPr>
        <w:t xml:space="preserve">Cancel company cards on the last working day</w:t>
      </w:r>
    </w:p>
    <w:p>
      <w:pPr>
        <w:spacing w:after="60" w:line="264"/>
        <w:jc w:val="both"/>
      </w:pPr>
      <w:r>
        <w:rPr>
          <w:rFonts w:ascii="Calibri" w:cs="Calibri" w:eastAsia="Calibri" w:hAnsi="Calibri"/>
          <w:sz w:val="19"/>
          <w:szCs w:val="19"/>
        </w:rPr>
        <w:t xml:space="preserve">A live card held by a former employee belongs in the same category as a live bank mandate or system login. Add it to the leaver checklist and reconcile the account before the final settlement is paid.</w:t>
      </w:r>
    </w:p>
    <w:p>
      <w:pPr>
        <w:keepNext/>
        <w:spacing w:after="40" w:before="140"/>
      </w:pPr>
      <w:r>
        <w:rPr>
          <w:rFonts w:ascii="Calibri" w:cs="Calibri" w:eastAsia="Calibri" w:hAnsi="Calibri"/>
          <w:b/>
          <w:bCs/>
          <w:color w:val="14161B"/>
          <w:sz w:val="20"/>
          <w:szCs w:val="20"/>
        </w:rPr>
        <w:t xml:space="preserve">Unreconciled advances are loans in substance</w:t>
      </w:r>
    </w:p>
    <w:p>
      <w:pPr>
        <w:spacing w:after="60" w:line="264"/>
        <w:jc w:val="both"/>
      </w:pPr>
      <w:r>
        <w:rPr>
          <w:rFonts w:ascii="Calibri" w:cs="Calibri" w:eastAsia="Calibri" w:hAnsi="Calibri"/>
          <w:sz w:val="19"/>
          <w:szCs w:val="19"/>
        </w:rPr>
        <w:t xml:space="preserve">An advance outstanding for months is not an expense, and on departure it must be recovered from the final settlement. Review them monthly rather than discovering the balance during an exit calculation.</w:t>
      </w:r>
    </w:p>
    <w:p>
      <w:pPr>
        <w:keepNext/>
        <w:spacing w:after="40" w:before="140"/>
      </w:pPr>
      <w:r>
        <w:rPr>
          <w:rFonts w:ascii="Calibri" w:cs="Calibri" w:eastAsia="Calibri" w:hAnsi="Calibri"/>
          <w:b/>
          <w:bCs/>
          <w:color w:val="14161B"/>
          <w:sz w:val="20"/>
          <w:szCs w:val="20"/>
        </w:rPr>
        <w:t xml:space="preserve">Reimburse through payroll or transfer, not cash</w:t>
      </w:r>
    </w:p>
    <w:p>
      <w:pPr>
        <w:spacing w:after="60" w:line="264"/>
        <w:jc w:val="both"/>
      </w:pPr>
      <w:r>
        <w:rPr>
          <w:rFonts w:ascii="Calibri" w:cs="Calibri" w:eastAsia="Calibri" w:hAnsi="Calibri"/>
          <w:sz w:val="19"/>
          <w:szCs w:val="19"/>
        </w:rPr>
        <w:t xml:space="preserve">Cash reimbursement leaves no independent record, complicates the audit trail and creates opportunity. Pay through the same channel as salary.</w:t>
      </w:r>
    </w:p>
    <w:p>
      <w:pPr>
        <w:keepNext/>
        <w:spacing w:after="40" w:before="140"/>
      </w:pPr>
      <w:r>
        <w:rPr>
          <w:rFonts w:ascii="Calibri" w:cs="Calibri" w:eastAsia="Calibri" w:hAnsi="Calibri"/>
          <w:b/>
          <w:bCs/>
          <w:color w:val="14161B"/>
          <w:sz w:val="20"/>
          <w:szCs w:val="20"/>
        </w:rPr>
        <w:t xml:space="preserve">Watch connected person expenditure</w:t>
      </w:r>
    </w:p>
    <w:p>
      <w:pPr>
        <w:spacing w:after="60" w:line="264"/>
        <w:jc w:val="both"/>
      </w:pPr>
      <w:r>
        <w:rPr>
          <w:rFonts w:ascii="Calibri" w:cs="Calibri" w:eastAsia="Calibri" w:hAnsi="Calibri"/>
          <w:sz w:val="19"/>
          <w:szCs w:val="19"/>
        </w:rPr>
        <w:t xml:space="preserve">Payments to the owner, directors or their relatives — including expenses — must be at market value and wholly for the business. Excess is disallowed and it is one of the first things examined in an owner-managed company.</w:t>
      </w:r>
    </w:p>
    <w:p>
      <w:pPr>
        <w:keepNext/>
        <w:spacing w:after="40" w:before="140"/>
      </w:pPr>
      <w:r>
        <w:rPr>
          <w:rFonts w:ascii="Calibri" w:cs="Calibri" w:eastAsia="Calibri" w:hAnsi="Calibri"/>
          <w:b/>
          <w:bCs/>
          <w:color w:val="14161B"/>
          <w:sz w:val="20"/>
          <w:szCs w:val="20"/>
        </w:rPr>
        <w:t xml:space="preserve">Review patterns, not just claims</w:t>
      </w:r>
    </w:p>
    <w:p>
      <w:pPr>
        <w:spacing w:after="60" w:line="264"/>
        <w:jc w:val="both"/>
      </w:pPr>
      <w:r>
        <w:rPr>
          <w:rFonts w:ascii="Calibri" w:cs="Calibri" w:eastAsia="Calibri" w:hAnsi="Calibri"/>
          <w:sz w:val="19"/>
          <w:szCs w:val="19"/>
        </w:rPr>
        <w:t xml:space="preserve">Individual claims can each be defensible while the pattern is not — the same supplier every week, round-sum amounts, claims clustered at period end. A quarterly look at the pattern finds what claim-by-claim checking cannot.</w:t>
      </w:r>
    </w:p>
    <w:p>
      <w:pPr>
        <w:keepNext/>
        <w:spacing w:after="40" w:before="140"/>
      </w:pPr>
      <w:r>
        <w:rPr>
          <w:rFonts w:ascii="Calibri" w:cs="Calibri" w:eastAsia="Calibri" w:hAnsi="Calibri"/>
          <w:b/>
          <w:bCs/>
          <w:color w:val="14161B"/>
          <w:sz w:val="20"/>
          <w:szCs w:val="20"/>
        </w:rPr>
        <w:t xml:space="preserve">Seven years of records</w:t>
      </w:r>
    </w:p>
    <w:p>
      <w:pPr>
        <w:spacing w:after="60" w:line="264"/>
        <w:jc w:val="both"/>
      </w:pPr>
      <w:r>
        <w:rPr>
          <w:rFonts w:ascii="Calibri" w:cs="Calibri" w:eastAsia="Calibri" w:hAnsi="Calibri"/>
          <w:sz w:val="19"/>
          <w:szCs w:val="19"/>
        </w:rPr>
        <w:t xml:space="preserve">Receipts, tax invoices, approvals and card reconciliations support both the VAT and corporate tax positions and must be retained for seven years from the end of the tax period. Digital copies are fine; retrievability is the point.</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tax law and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Blocked input tax categories, tax invoice requirements, deductibility rules, connected person provisions and the FTA penalty framework all change — confirm the current position with the Federal Tax Authority or a UAE tax adviser before setting recovery policy.</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2026-08-23T16:28:36.417Z</dcterms:created>
  <dcterms:modified xsi:type="dcterms:W3CDTF">2026-08-23T16:28:36.417Z</dcterms:modified>
</cp:coreProperties>
</file>

<file path=docProps/custom.xml><?xml version="1.0" encoding="utf-8"?>
<Properties xmlns="http://schemas.openxmlformats.org/officeDocument/2006/custom-properties" xmlns:vt="http://schemas.openxmlformats.org/officeDocument/2006/docPropsVTypes"/>
</file>