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ENGAGING A CONSULTANT</w:t>
      </w:r>
    </w:p>
    <w:p>
      <w:pPr>
        <w:spacing w:after="260"/>
        <w:jc w:val="center"/>
      </w:pPr>
      <w:r>
        <w:rPr>
          <w:rFonts w:ascii="Calibri" w:cs="Calibri" w:eastAsia="Calibri" w:hAnsi="Calibri"/>
          <w:i/>
          <w:iCs/>
          <w:color w:val="6E7480"/>
          <w:sz w:val="19"/>
          <w:szCs w:val="19"/>
        </w:rPr>
        <w:t xml:space="preserve">Freelancers, contractors and the permit question</w:t>
      </w:r>
    </w:p>
    <w:p>
      <w:pPr>
        <w:spacing w:after="180" w:before="0" w:line="276"/>
        <w:jc w:val="both"/>
      </w:pPr>
      <w:r>
        <w:rPr>
          <w:rFonts w:ascii="Calibri" w:cs="Calibri" w:eastAsia="Calibri" w:hAnsi="Calibri"/>
          <w:i/>
          <w:iCs/>
          <w:color w:val="6E7480"/>
          <w:sz w:val="21"/>
          <w:szCs w:val="21"/>
        </w:rPr>
        <w:t xml:space="preserve">One question decides whether this engagement is lawful: </w:t>
      </w:r>
      <w:r>
        <w:rPr>
          <w:rFonts w:ascii="Calibri" w:cs="Calibri" w:eastAsia="Calibri" w:hAnsi="Calibri"/>
          <w:b/>
          <w:bCs/>
          <w:i/>
          <w:iCs/>
          <w:color w:val="6E7480"/>
          <w:sz w:val="21"/>
          <w:szCs w:val="21"/>
        </w:rPr>
        <w:t xml:space="preserve">does the individual hold a permit that allows them to provide these services?</w:t>
      </w:r>
      <w:r>
        <w:rPr>
          <w:rFonts w:ascii="Calibri" w:cs="Calibri" w:eastAsia="Calibri" w:hAnsi="Calibri"/>
          <w:i/>
          <w:iCs/>
          <w:color w:val="6E7480"/>
          <w:sz w:val="21"/>
          <w:szCs w:val="21"/>
        </w:rPr>
        <w:t xml:space="preserve"> A person on a spouse visa, a visit visa, or another employer’s sponsorship cannot simply invoice you. The exposure falls on the client as well as the individual.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Consultant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Engaged as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[Licensed company / Freelance permit holder / Individual]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Permit or licence held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r>
              <w:rPr>
                <w:rFonts w:ascii="Calibri" w:cs="Calibri" w:eastAsia="Calibri" w:hAnsi="Calibri"/>
                <w:b/>
                <w:bCs/>
                <w:sz w:val="19"/>
                <w:szCs w:val="19"/>
              </w:rPr>
              <w:t xml:space="preserve"> — copy obtained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Covers these services?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checked against the activity list]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BY OUTCOME]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Fees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w:t>
            </w:r>
            <w:r>
              <w:rPr>
                <w:rFonts w:ascii="Calibri" w:cs="Calibri" w:eastAsia="Calibri" w:hAnsi="Calibri"/>
                <w:b/>
                <w:bCs/>
                <w:sz w:val="19"/>
                <w:szCs w:val="19"/>
              </w:rPr>
              <w:t xml:space="preserve">[day / month / project]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and charges 5% / Not registered]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Classification assessed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see Section 2</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[Emirate of ______ / DIFC / ADGM]</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PERMIT QUESTION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consultant is…</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licensed UAE company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trade licence covers these activities. Contract with the company, not the individual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freelance permit holder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permit covers this field of activity and is current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 a Green Visa as a freelancer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Self-sponsored; confirm the permit position for the services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Employed elsewhere, moonlighting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Requires a part-time work permit</w:t>
            </w:r>
            <w:r>
              <w:rPr>
                <w:rFonts w:ascii="Calibri" w:cs="Calibri" w:eastAsia="Calibri" w:hAnsi="Calibri"/>
                <w:sz w:val="17"/>
                <w:szCs w:val="17"/>
              </w:rPr>
              <w:t xml:space="preserve"> — an employer NOC is not sufficient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 a spouse or family visa</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Requires a work permit</w:t>
            </w:r>
            <w:r>
              <w:rPr>
                <w:rFonts w:ascii="Calibri" w:cs="Calibri" w:eastAsia="Calibri" w:hAnsi="Calibri"/>
                <w:sz w:val="17"/>
                <w:szCs w:val="17"/>
              </w:rPr>
              <w:t xml:space="preserve"> to work, whoever sponsors the residence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 a visit or tourist entry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Cannot lawfully work.</w:t>
            </w:r>
            <w:r>
              <w:rPr>
                <w:rFonts w:ascii="Calibri" w:cs="Calibri" w:eastAsia="Calibri" w:hAnsi="Calibri"/>
                <w:sz w:val="17"/>
                <w:szCs w:val="17"/>
              </w:rPr>
              <w:t xml:space="preserve"> Do not engage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Outside the UAE, working remotely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Different analysis — check withholding, permanent establishment and their local rules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Golden Visa holder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Still needs a work permit to be employed</w:t>
            </w:r>
            <w:r>
              <w:rPr>
                <w:rFonts w:ascii="Calibri" w:cs="Calibri" w:eastAsia="Calibri" w:hAnsi="Calibri"/>
                <w:sz w:val="17"/>
                <w:szCs w:val="17"/>
              </w:rPr>
              <w:t xml:space="preserve">; for independent services check the permit position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Obtain and keep a copy of the licence or permit, and check the activity list.</w:t>
      </w:r>
      <w:r>
        <w:rPr>
          <w:rFonts w:ascii="Calibri" w:cs="Calibri" w:eastAsia="Calibri" w:hAnsi="Calibri"/>
          <w:sz w:val="21"/>
          <w:szCs w:val="21"/>
        </w:rPr>
        <w:t xml:space="preserve"> A licence that exists is not the same as a licence that covers the work.</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The most common informal arrangement in the market is an individual on a family visa invoicing for services with no permit. It is unlawful for both sides, and the client is the party with assets.</w:t>
      </w:r>
    </w:p>
    <w:p>
      <w:pPr>
        <w:keepNext/>
        <w:spacing w:after="120" w:before="280"/>
        <w:outlineLvl w:val="0"/>
      </w:pPr>
      <w:r>
        <w:rPr>
          <w:rFonts w:ascii="Calibri" w:cs="Calibri" w:eastAsia="Calibri" w:hAnsi="Calibri"/>
          <w:b/>
          <w:bCs/>
          <w:color w:val="14161B"/>
          <w:sz w:val="22"/>
          <w:szCs w:val="22"/>
        </w:rPr>
        <w:t xml:space="preserve">2. EMPLOYEE OR CONTRACTOR</w:t>
      </w:r>
    </w:p>
    <w:p>
      <w:pPr>
        <w:spacing w:after="110" w:before="0" w:line="276"/>
        <w:jc w:val="both"/>
      </w:pPr>
      <w:r>
        <w:rPr>
          <w:rFonts w:ascii="Calibri" w:cs="Calibri" w:eastAsia="Calibri" w:hAnsi="Calibri"/>
          <w:i/>
          <w:iCs/>
          <w:sz w:val="21"/>
          <w:szCs w:val="21"/>
        </w:rPr>
        <w:t xml:space="preserve">Work through this honestly. If most answers point to employment, engage them as an employee and obtain a work permit.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1734"/>
        <w:gridCol w:w="1734"/>
        <w:gridCol w:w="193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Question</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Contractor</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Employee</w:t>
            </w:r>
          </w:p>
        </w:tc>
        <w:tc>
          <w:tcPr>
            <w:tcW w:type="dxa" w:w="193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Position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 controls how the work is done?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They do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You do</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Can they send a substitute?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Whose equipment and premises?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Theirs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Yours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Fixed hours set by you?</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 they work for others?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 bears financial risk?</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They do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You do</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Integrated into the team?</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Company email, title, appraisal?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Duration and exclusivity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Project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Open-ended</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Who fixes defective work?</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They do, at their cost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paid time</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Conclusion</w:t>
            </w:r>
          </w:p>
        </w:tc>
        <w:tc>
          <w:tcPr>
            <w:tcW w:type="dxa" w:w="1734"/>
            <w:tcMar>
              <w:top w:type="dxa" w:w="70"/>
              <w:left w:type="dxa" w:w="100"/>
              <w:bottom w:type="dxa" w:w="70"/>
              <w:right w:type="dxa" w:w="100"/>
            </w:tcMar>
            <w:vAlign w:val="center"/>
          </w:tcPr>
          <w:p>
            <w:pPr>
              <w:spacing w:after="0" w:line="240"/>
              <w:jc w:val="left"/>
            </w:pPr>
          </w:p>
        </w:tc>
        <w:tc>
          <w:tcPr>
            <w:tcW w:type="dxa" w:w="1734"/>
            <w:tcMar>
              <w:top w:type="dxa" w:w="70"/>
              <w:left w:type="dxa" w:w="100"/>
              <w:bottom w:type="dxa" w:w="70"/>
              <w:right w:type="dxa" w:w="100"/>
            </w:tcMar>
            <w:vAlign w:val="center"/>
          </w:tcPr>
          <w:p>
            <w:pPr>
              <w:spacing w:after="0" w:line="240"/>
              <w:jc w:val="left"/>
            </w:pP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[Contractor / Employee]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A "consultant" working full time at your office, on your systems, under your direction, for two years, is an employee in substance — and the permit exposure is yours.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TERMS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Consultant shall provide the services described in the Schedule with reasonable skill and care, meeting the objectives and deadlines stated.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Consultant is an </w:t>
      </w:r>
      <w:r>
        <w:rPr>
          <w:rFonts w:ascii="Calibri" w:cs="Calibri" w:eastAsia="Calibri" w:hAnsi="Calibri"/>
          <w:b/>
          <w:bCs/>
          <w:sz w:val="21"/>
          <w:szCs w:val="21"/>
        </w:rPr>
        <w:t xml:space="preserve">independent contractor</w:t>
      </w:r>
      <w:r>
        <w:rPr>
          <w:rFonts w:ascii="Calibri" w:cs="Calibri" w:eastAsia="Calibri" w:hAnsi="Calibri"/>
          <w:sz w:val="21"/>
          <w:szCs w:val="21"/>
        </w:rPr>
        <w:t xml:space="preserve">. Nothing creates employment, partnership or agency, and the Consultant is not entitled to salary, leave, gratuity, health insurance or any employment benefit.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Consultant determines how the services are performed and may work for others, subject to conflicts.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Fees are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per </w:t>
      </w:r>
      <w:r>
        <w:rPr>
          <w:rFonts w:ascii="Calibri" w:cs="Calibri" w:eastAsia="Calibri" w:hAnsi="Calibri"/>
          <w:b/>
          <w:bCs/>
          <w:sz w:val="21"/>
          <w:szCs w:val="21"/>
        </w:rPr>
        <w:t xml:space="preserve">[basis]</w:t>
      </w:r>
      <w:r>
        <w:rPr>
          <w:rFonts w:ascii="Calibri" w:cs="Calibri" w:eastAsia="Calibri" w:hAnsi="Calibri"/>
          <w:sz w:val="21"/>
          <w:szCs w:val="21"/>
        </w:rPr>
        <w:t xml:space="preserve">, invoiced </w:t>
      </w:r>
      <w:r>
        <w:rPr>
          <w:rFonts w:ascii="Calibri" w:cs="Calibri" w:eastAsia="Calibri" w:hAnsi="Calibri"/>
          <w:b/>
          <w:bCs/>
          <w:sz w:val="21"/>
          <w:szCs w:val="21"/>
        </w:rPr>
        <w:t xml:space="preserve">[monthly in arrears]</w:t>
      </w:r>
      <w:r>
        <w:rPr>
          <w:rFonts w:ascii="Calibri" w:cs="Calibri" w:eastAsia="Calibri" w:hAnsi="Calibri"/>
          <w:sz w:val="21"/>
          <w:szCs w:val="21"/>
        </w:rPr>
        <w:t xml:space="preserve">, payable within </w:t>
      </w:r>
      <w:r>
        <w:rPr>
          <w:rFonts w:ascii="Calibri" w:cs="Calibri" w:eastAsia="Calibri" w:hAnsi="Calibri"/>
          <w:b/>
          <w:bCs/>
          <w:sz w:val="21"/>
          <w:szCs w:val="21"/>
        </w:rPr>
        <w:t xml:space="preserve">[30]</w:t>
      </w:r>
      <w:r>
        <w:rPr>
          <w:rFonts w:ascii="Calibri" w:cs="Calibri" w:eastAsia="Calibri" w:hAnsi="Calibri"/>
          <w:sz w:val="21"/>
          <w:szCs w:val="21"/>
        </w:rPr>
        <w:t xml:space="preserve"> days against a </w:t>
      </w:r>
      <w:r>
        <w:rPr>
          <w:rFonts w:ascii="Calibri" w:cs="Calibri" w:eastAsia="Calibri" w:hAnsi="Calibri"/>
          <w:b/>
          <w:bCs/>
          <w:sz w:val="21"/>
          <w:szCs w:val="21"/>
        </w:rPr>
        <w:t xml:space="preserve">valid tax invoice</w:t>
      </w:r>
      <w:r>
        <w:rPr>
          <w:rFonts w:ascii="Calibri" w:cs="Calibri" w:eastAsia="Calibri" w:hAnsi="Calibri"/>
          <w:sz w:val="21"/>
          <w:szCs w:val="21"/>
        </w:rPr>
        <w:t xml:space="preserve"> where the Consultant is VAT-registered.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No CPF-equivalent, gratuity or end-of-service payment arises</w:t>
      </w:r>
      <w:r>
        <w:rPr>
          <w:rFonts w:ascii="Calibri" w:cs="Calibri" w:eastAsia="Calibri" w:hAnsi="Calibri"/>
          <w:sz w:val="21"/>
          <w:szCs w:val="21"/>
        </w:rPr>
        <w:t xml:space="preserve">, and the Client makes no WPS payment for the Consultant.</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The Consultant is responsible for their own permits, insurance, tax and any social security in their own jurisdiction.</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sz w:val="21"/>
          <w:szCs w:val="21"/>
        </w:rPr>
        <w:t xml:space="preserve">The Consultant shall maintain </w:t>
      </w:r>
      <w:r>
        <w:rPr>
          <w:rFonts w:ascii="Calibri" w:cs="Calibri" w:eastAsia="Calibri" w:hAnsi="Calibri"/>
          <w:b/>
          <w:bCs/>
          <w:sz w:val="21"/>
          <w:szCs w:val="21"/>
        </w:rPr>
        <w:t xml:space="preserve">[professional indemnity insurance of AED ______]</w:t>
      </w:r>
      <w:r>
        <w:rPr>
          <w:rFonts w:ascii="Calibri" w:cs="Calibri" w:eastAsia="Calibri" w:hAnsi="Calibri"/>
          <w:sz w:val="21"/>
          <w:szCs w:val="21"/>
        </w:rPr>
        <w:t xml:space="preserve"> and provide evidence on request.</w:t>
      </w:r>
    </w:p>
    <w:p>
      <w:pPr>
        <w:keepNext/>
        <w:spacing w:after="120" w:before="280"/>
        <w:outlineLvl w:val="0"/>
      </w:pPr>
      <w:r>
        <w:rPr>
          <w:rFonts w:ascii="Calibri" w:cs="Calibri" w:eastAsia="Calibri" w:hAnsi="Calibri"/>
          <w:b/>
          <w:bCs/>
          <w:color w:val="14161B"/>
          <w:sz w:val="22"/>
          <w:szCs w:val="22"/>
        </w:rPr>
        <w:t xml:space="preserve">4. IP, CONFIDENTIALITY AND DATA</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Intellectual property created under this engagement is assigned to the Client</w:t>
      </w:r>
      <w:r>
        <w:rPr>
          <w:rFonts w:ascii="Calibri" w:cs="Calibri" w:eastAsia="Calibri" w:hAnsi="Calibri"/>
          <w:sz w:val="21"/>
          <w:szCs w:val="21"/>
        </w:rPr>
        <w:t xml:space="preserve"> on payment, and the Consultant shall execute any document required to perfect it.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Consultant retains its pre-existing tools and methodologies and grants the Client a licence to use them to the extent embedded in the deliverables.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Consultant shall identify any third party or open source material incorporated, and </w:t>
      </w:r>
      <w:r>
        <w:rPr>
          <w:rFonts w:ascii="Calibri" w:cs="Calibri" w:eastAsia="Calibri" w:hAnsi="Calibri"/>
          <w:b/>
          <w:bCs/>
          <w:sz w:val="21"/>
          <w:szCs w:val="21"/>
        </w:rPr>
        <w:t xml:space="preserve">shall not use open source under a copyleft licence without written consent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Consultant shall keep the Client’s information confidential during and after the engagement.</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Where the Consultant processes personal data for the Client, they shall comply with the applicable regime, process only on instructions, apply reasonable security, and </w:t>
      </w:r>
      <w:r>
        <w:rPr>
          <w:rFonts w:ascii="Calibri" w:cs="Calibri" w:eastAsia="Calibri" w:hAnsi="Calibri"/>
          <w:b/>
          <w:bCs/>
          <w:sz w:val="21"/>
          <w:szCs w:val="21"/>
        </w:rPr>
        <w:t xml:space="preserve">notify the Client immediately of any data breach</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i/>
          <w:iCs/>
          <w:sz w:val="21"/>
          <w:szCs w:val="21"/>
        </w:rPr>
        <w:t xml:space="preserve">Unlike an employee, a contractor keeps the IP they create unless it is expressly assigned. This is the most common gap in consultancy arrangements and it surfaces in diligence.</w:t>
      </w:r>
    </w:p>
    <w:p>
      <w:pPr>
        <w:keepNext/>
        <w:spacing w:after="120" w:before="280"/>
        <w:outlineLvl w:val="0"/>
      </w:pPr>
      <w:r>
        <w:rPr>
          <w:rFonts w:ascii="Calibri" w:cs="Calibri" w:eastAsia="Calibri" w:hAnsi="Calibri"/>
          <w:b/>
          <w:bCs/>
          <w:color w:val="14161B"/>
          <w:sz w:val="22"/>
          <w:szCs w:val="22"/>
        </w:rPr>
        <w:t xml:space="preserve">5. TERMINATION AND INDEMNITY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Either party may terminate on </w:t>
      </w:r>
      <w:r>
        <w:rPr>
          <w:rFonts w:ascii="Calibri" w:cs="Calibri" w:eastAsia="Calibri" w:hAnsi="Calibri"/>
          <w:b/>
          <w:bCs/>
          <w:sz w:val="21"/>
          <w:szCs w:val="21"/>
        </w:rPr>
        <w:t xml:space="preserve">[14]</w:t>
      </w:r>
      <w:r>
        <w:rPr>
          <w:rFonts w:ascii="Calibri" w:cs="Calibri" w:eastAsia="Calibri" w:hAnsi="Calibri"/>
          <w:sz w:val="21"/>
          <w:szCs w:val="21"/>
        </w:rPr>
        <w:t xml:space="preserve"> days notice, or immediately for material breach not remedied within </w:t>
      </w:r>
      <w:r>
        <w:rPr>
          <w:rFonts w:ascii="Calibri" w:cs="Calibri" w:eastAsia="Calibri" w:hAnsi="Calibri"/>
          <w:b/>
          <w:bCs/>
          <w:sz w:val="21"/>
          <w:szCs w:val="21"/>
        </w:rPr>
        <w:t xml:space="preserve">[7]</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Client may terminate immediately where the Consultant ceases to hold a valid permit or licence for the services.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On termination the Client shall pay for services performed, and the Consultant shall deliver work in progress and return all Client property and information.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The Consultant indemnifies the Client</w:t>
      </w:r>
      <w:r>
        <w:rPr>
          <w:rFonts w:ascii="Calibri" w:cs="Calibri" w:eastAsia="Calibri" w:hAnsi="Calibri"/>
          <w:sz w:val="21"/>
          <w:szCs w:val="21"/>
        </w:rPr>
        <w:t xml:space="preserve"> against any claim or liability arising from a determination that the Consultant or their personnel are employees, or from the Consultant lacking the necessary permit.</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An indemnity from an individual with no assets is worth little, and it does not answer a regulatory finding against the Client. Get the permit position right rather than relying on Clause 5.4.</w:t>
      </w:r>
    </w:p>
    <w:p>
      <w:pPr>
        <w:keepNext/>
        <w:spacing w:after="120" w:before="280"/>
        <w:outlineLvl w:val="0"/>
      </w:pPr>
      <w:r>
        <w:rPr>
          <w:rFonts w:ascii="Calibri" w:cs="Calibri" w:eastAsia="Calibri" w:hAnsi="Calibri"/>
          <w:b/>
          <w:bCs/>
          <w:color w:val="14161B"/>
          <w:sz w:val="22"/>
          <w:szCs w:val="22"/>
        </w:rPr>
        <w:t xml:space="preserve">6. CHECKLIST BEFORE ENGAGING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Copy of licence or permit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Activity list checked against the services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 or licence currently valid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Classification assessed — genuinely a contractor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Contracting with the company where one exists, not the individual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Services described by outcome, not by hours worked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IP assignment included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Open source position addressed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VAT position established; valid tax invoice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Withholding considered where the consultant is non-resident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evidence obtained where relevant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obligations included where personal data is involved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Engagement reviewed if it runs beyond 12 months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[CLIENT]</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[CONSULTANT]</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Licence / permit: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Check the permit before anything else</w:t>
      </w:r>
    </w:p>
    <w:p>
      <w:pPr>
        <w:spacing w:after="60" w:line="264"/>
        <w:jc w:val="both"/>
      </w:pPr>
      <w:r>
        <w:rPr>
          <w:rFonts w:ascii="Calibri" w:cs="Calibri" w:eastAsia="Calibri" w:hAnsi="Calibri"/>
          <w:sz w:val="19"/>
          <w:szCs w:val="19"/>
        </w:rPr>
        <w:t xml:space="preserve">An individual cannot lawfully provide services in the UAE without a permit that allows it — a freelance permit, a Green Visa arrangement, a company licence, or a part-time work permit if employed elsewhere. A spouse visa or a visit entry does not permit work. The exposure falls on the client as well as the individual, and the client is the party with assets.</w:t>
      </w:r>
    </w:p>
    <w:p>
      <w:pPr>
        <w:keepNext/>
        <w:spacing w:after="40" w:before="140"/>
      </w:pPr>
      <w:r>
        <w:rPr>
          <w:rFonts w:ascii="Calibri" w:cs="Calibri" w:eastAsia="Calibri" w:hAnsi="Calibri"/>
          <w:b/>
          <w:bCs/>
          <w:color w:val="14161B"/>
          <w:sz w:val="20"/>
          <w:szCs w:val="20"/>
        </w:rPr>
        <w:t xml:space="preserve">A licence existing is not a licence covering the work</w:t>
      </w:r>
    </w:p>
    <w:p>
      <w:pPr>
        <w:spacing w:after="60" w:line="264"/>
        <w:jc w:val="both"/>
      </w:pPr>
      <w:r>
        <w:rPr>
          <w:rFonts w:ascii="Calibri" w:cs="Calibri" w:eastAsia="Calibri" w:hAnsi="Calibri"/>
          <w:sz w:val="19"/>
          <w:szCs w:val="19"/>
        </w:rPr>
        <w:t xml:space="preserve">Obtain the trade licence or permit and read the activity list against the services you are buying. A consultancy licence does not necessarily cover the specific field, and a mismatch causes problems with invoicing, VAT and regulators.</w:t>
      </w:r>
    </w:p>
    <w:p>
      <w:pPr>
        <w:keepNext/>
        <w:spacing w:after="40" w:before="140"/>
      </w:pPr>
      <w:r>
        <w:rPr>
          <w:rFonts w:ascii="Calibri" w:cs="Calibri" w:eastAsia="Calibri" w:hAnsi="Calibri"/>
          <w:b/>
          <w:bCs/>
          <w:color w:val="14161B"/>
          <w:sz w:val="20"/>
          <w:szCs w:val="20"/>
        </w:rPr>
        <w:t xml:space="preserve">An employer NOC is not a part-time permit</w:t>
      </w:r>
    </w:p>
    <w:p>
      <w:pPr>
        <w:spacing w:after="60" w:line="264"/>
        <w:jc w:val="both"/>
      </w:pPr>
      <w:r>
        <w:rPr>
          <w:rFonts w:ascii="Calibri" w:cs="Calibri" w:eastAsia="Calibri" w:hAnsi="Calibri"/>
          <w:sz w:val="19"/>
          <w:szCs w:val="19"/>
        </w:rPr>
        <w:t xml:space="preserve">Where the consultant is employed elsewhere and moonlighting, the correct instrument is a part-time work permit, not a letter from their employer saying they do not object. This is the most commonly confused point in the whole area.</w:t>
      </w:r>
    </w:p>
    <w:p>
      <w:pPr>
        <w:keepNext/>
        <w:spacing w:after="40" w:before="140"/>
      </w:pPr>
      <w:r>
        <w:rPr>
          <w:rFonts w:ascii="Calibri" w:cs="Calibri" w:eastAsia="Calibri" w:hAnsi="Calibri"/>
          <w:b/>
          <w:bCs/>
          <w:color w:val="14161B"/>
          <w:sz w:val="20"/>
          <w:szCs w:val="20"/>
        </w:rPr>
        <w:t xml:space="preserve">Contract with the company where one exists</w:t>
      </w:r>
    </w:p>
    <w:p>
      <w:pPr>
        <w:spacing w:after="60" w:line="264"/>
        <w:jc w:val="both"/>
      </w:pPr>
      <w:r>
        <w:rPr>
          <w:rFonts w:ascii="Calibri" w:cs="Calibri" w:eastAsia="Calibri" w:hAnsi="Calibri"/>
          <w:sz w:val="19"/>
          <w:szCs w:val="19"/>
        </w:rPr>
        <w:t xml:space="preserve">Contracting with the consultant’s licensed company rather than the individual strengthens the contractor characterisation, simplifies the tax and VAT position, and provides a counterparty with a licence to check.</w:t>
      </w:r>
    </w:p>
    <w:p>
      <w:pPr>
        <w:keepNext/>
        <w:spacing w:after="40" w:before="140"/>
      </w:pPr>
      <w:r>
        <w:rPr>
          <w:rFonts w:ascii="Calibri" w:cs="Calibri" w:eastAsia="Calibri" w:hAnsi="Calibri"/>
          <w:b/>
          <w:bCs/>
          <w:color w:val="14161B"/>
          <w:sz w:val="20"/>
          <w:szCs w:val="20"/>
        </w:rPr>
        <w:t xml:space="preserve">Assess classification honestly</w:t>
      </w:r>
    </w:p>
    <w:p>
      <w:pPr>
        <w:spacing w:after="60" w:line="264"/>
        <w:jc w:val="both"/>
      </w:pPr>
      <w:r>
        <w:rPr>
          <w:rFonts w:ascii="Calibri" w:cs="Calibri" w:eastAsia="Calibri" w:hAnsi="Calibri"/>
          <w:sz w:val="19"/>
          <w:szCs w:val="19"/>
        </w:rPr>
        <w:t xml:space="preserve">A consultant working full time at your premises, on your systems, under your direction, for an extended period is an employee in substance whatever the contract says. The permit exposure and the retrospective employment liability both land on the client.</w:t>
      </w:r>
    </w:p>
    <w:p>
      <w:pPr>
        <w:keepNext/>
        <w:spacing w:after="40" w:before="140"/>
      </w:pPr>
      <w:r>
        <w:rPr>
          <w:rFonts w:ascii="Calibri" w:cs="Calibri" w:eastAsia="Calibri" w:hAnsi="Calibri"/>
          <w:b/>
          <w:bCs/>
          <w:color w:val="14161B"/>
          <w:sz w:val="20"/>
          <w:szCs w:val="20"/>
        </w:rPr>
        <w:t xml:space="preserve">Assign the IP expressly</w:t>
      </w:r>
    </w:p>
    <w:p>
      <w:pPr>
        <w:spacing w:after="60" w:line="264"/>
        <w:jc w:val="both"/>
      </w:pPr>
      <w:r>
        <w:rPr>
          <w:rFonts w:ascii="Calibri" w:cs="Calibri" w:eastAsia="Calibri" w:hAnsi="Calibri"/>
          <w:sz w:val="19"/>
          <w:szCs w:val="19"/>
        </w:rPr>
        <w:t xml:space="preserve">Unlike an employee, a contractor retains intellectual property they create unless it is assigned in writing. This is the most common gap in consultancy arrangements and it surfaces years later in due diligence, sometimes on the core product.</w:t>
      </w:r>
    </w:p>
    <w:p>
      <w:pPr>
        <w:keepNext/>
        <w:spacing w:after="40" w:before="140"/>
      </w:pPr>
      <w:r>
        <w:rPr>
          <w:rFonts w:ascii="Calibri" w:cs="Calibri" w:eastAsia="Calibri" w:hAnsi="Calibri"/>
          <w:b/>
          <w:bCs/>
          <w:color w:val="14161B"/>
          <w:sz w:val="20"/>
          <w:szCs w:val="20"/>
        </w:rPr>
        <w:t xml:space="preserve">Ask what open source is in the deliverable</w:t>
      </w:r>
    </w:p>
    <w:p>
      <w:pPr>
        <w:spacing w:after="60" w:line="264"/>
        <w:jc w:val="both"/>
      </w:pPr>
      <w:r>
        <w:rPr>
          <w:rFonts w:ascii="Calibri" w:cs="Calibri" w:eastAsia="Calibri" w:hAnsi="Calibri"/>
          <w:sz w:val="19"/>
          <w:szCs w:val="19"/>
        </w:rPr>
        <w:t xml:space="preserve">Contractors building quickly may incorporate open source under licences requiring source disclosure. That is a serious problem for a client expecting proprietary work. Require identification and consent before delivery.</w:t>
      </w:r>
    </w:p>
    <w:p>
      <w:pPr>
        <w:keepNext/>
        <w:spacing w:after="40" w:before="140"/>
      </w:pPr>
      <w:r>
        <w:rPr>
          <w:rFonts w:ascii="Calibri" w:cs="Calibri" w:eastAsia="Calibri" w:hAnsi="Calibri"/>
          <w:b/>
          <w:bCs/>
          <w:color w:val="14161B"/>
          <w:sz w:val="20"/>
          <w:szCs w:val="20"/>
        </w:rPr>
        <w:t xml:space="preserve">Describe services by outcome</w:t>
      </w:r>
    </w:p>
    <w:p>
      <w:pPr>
        <w:spacing w:after="60" w:line="264"/>
        <w:jc w:val="both"/>
      </w:pPr>
      <w:r>
        <w:rPr>
          <w:rFonts w:ascii="Calibri" w:cs="Calibri" w:eastAsia="Calibri" w:hAnsi="Calibri"/>
          <w:sz w:val="19"/>
          <w:szCs w:val="19"/>
        </w:rPr>
        <w:t xml:space="preserve">A schedule setting out deliverables and milestones supports contractor status. One setting out hours to be worked under supervision undermines it. This is a drafting choice with real consequences for the classification analysis.</w:t>
      </w:r>
    </w:p>
    <w:p>
      <w:pPr>
        <w:keepNext/>
        <w:spacing w:after="40" w:before="140"/>
      </w:pPr>
      <w:r>
        <w:rPr>
          <w:rFonts w:ascii="Calibri" w:cs="Calibri" w:eastAsia="Calibri" w:hAnsi="Calibri"/>
          <w:b/>
          <w:bCs/>
          <w:color w:val="14161B"/>
          <w:sz w:val="20"/>
          <w:szCs w:val="20"/>
        </w:rPr>
        <w:t xml:space="preserve">Do not integrate them like staff</w:t>
      </w:r>
    </w:p>
    <w:p>
      <w:pPr>
        <w:spacing w:after="60" w:line="264"/>
        <w:jc w:val="both"/>
      </w:pPr>
      <w:r>
        <w:rPr>
          <w:rFonts w:ascii="Calibri" w:cs="Calibri" w:eastAsia="Calibri" w:hAnsi="Calibri"/>
          <w:sz w:val="19"/>
          <w:szCs w:val="19"/>
        </w:rPr>
        <w:t xml:space="preserve">Company email identity, a title on the org chart, appraisals, fixed hours and a permanent desk all point to employment. Where an engagement genuinely needs that, employ the person and get the permit.</w:t>
      </w:r>
    </w:p>
    <w:p>
      <w:pPr>
        <w:keepNext/>
        <w:spacing w:after="40" w:before="140"/>
      </w:pPr>
      <w:r>
        <w:rPr>
          <w:rFonts w:ascii="Calibri" w:cs="Calibri" w:eastAsia="Calibri" w:hAnsi="Calibri"/>
          <w:b/>
          <w:bCs/>
          <w:color w:val="14161B"/>
          <w:sz w:val="20"/>
          <w:szCs w:val="20"/>
        </w:rPr>
        <w:t xml:space="preserve">Get the VAT position right</w:t>
      </w:r>
    </w:p>
    <w:p>
      <w:pPr>
        <w:spacing w:after="60" w:line="264"/>
        <w:jc w:val="both"/>
      </w:pPr>
      <w:r>
        <w:rPr>
          <w:rFonts w:ascii="Calibri" w:cs="Calibri" w:eastAsia="Calibri" w:hAnsi="Calibri"/>
          <w:sz w:val="19"/>
          <w:szCs w:val="19"/>
        </w:rPr>
        <w:t xml:space="preserve">A VAT-registered consultant charges 5% in addition and must issue a valid tax invoice with all required particulars for the client to recover input tax. Where they are not registered, no VAT should appear on the invoice at all.</w:t>
      </w:r>
    </w:p>
    <w:p>
      <w:pPr>
        <w:keepNext/>
        <w:spacing w:after="40" w:before="140"/>
      </w:pPr>
      <w:r>
        <w:rPr>
          <w:rFonts w:ascii="Calibri" w:cs="Calibri" w:eastAsia="Calibri" w:hAnsi="Calibri"/>
          <w:b/>
          <w:bCs/>
          <w:color w:val="14161B"/>
          <w:sz w:val="20"/>
          <w:szCs w:val="20"/>
        </w:rPr>
        <w:t xml:space="preserve">Consider withholding for non-residents</w:t>
      </w:r>
    </w:p>
    <w:p>
      <w:pPr>
        <w:spacing w:after="60" w:line="264"/>
        <w:jc w:val="both"/>
      </w:pPr>
      <w:r>
        <w:rPr>
          <w:rFonts w:ascii="Calibri" w:cs="Calibri" w:eastAsia="Calibri" w:hAnsi="Calibri"/>
          <w:sz w:val="19"/>
          <w:szCs w:val="19"/>
        </w:rPr>
        <w:t xml:space="preserve">Where the consultant is outside the UAE, consider whether any withholding applies to the payment and whether the arrangement creates a presence issue in their jurisdiction or yours. Take advice rather than assuming the UAE position travels.</w:t>
      </w:r>
    </w:p>
    <w:p>
      <w:pPr>
        <w:keepNext/>
        <w:spacing w:after="40" w:before="140"/>
      </w:pPr>
      <w:r>
        <w:rPr>
          <w:rFonts w:ascii="Calibri" w:cs="Calibri" w:eastAsia="Calibri" w:hAnsi="Calibri"/>
          <w:b/>
          <w:bCs/>
          <w:color w:val="14161B"/>
          <w:sz w:val="20"/>
          <w:szCs w:val="20"/>
        </w:rPr>
        <w:t xml:space="preserve">The indemnity is a backstop, not a solution</w:t>
      </w:r>
    </w:p>
    <w:p>
      <w:pPr>
        <w:spacing w:after="60" w:line="264"/>
        <w:jc w:val="both"/>
      </w:pPr>
      <w:r>
        <w:rPr>
          <w:rFonts w:ascii="Calibri" w:cs="Calibri" w:eastAsia="Calibri" w:hAnsi="Calibri"/>
          <w:sz w:val="19"/>
          <w:szCs w:val="19"/>
        </w:rPr>
        <w:t xml:space="preserve">An indemnity from an individual with no assets is uncollectable, and it does nothing about a regulatory finding or a permit contravention attributed to the client. Get the permit position right first.</w:t>
      </w:r>
    </w:p>
    <w:p>
      <w:pPr>
        <w:keepNext/>
        <w:spacing w:after="40" w:before="140"/>
      </w:pPr>
      <w:r>
        <w:rPr>
          <w:rFonts w:ascii="Calibri" w:cs="Calibri" w:eastAsia="Calibri" w:hAnsi="Calibri"/>
          <w:b/>
          <w:bCs/>
          <w:color w:val="14161B"/>
          <w:sz w:val="20"/>
          <w:szCs w:val="20"/>
        </w:rPr>
        <w:t xml:space="preserve">Review long engagements annually</w:t>
      </w:r>
    </w:p>
    <w:p>
      <w:pPr>
        <w:spacing w:after="60" w:line="264"/>
        <w:jc w:val="both"/>
      </w:pPr>
      <w:r>
        <w:rPr>
          <w:rFonts w:ascii="Calibri" w:cs="Calibri" w:eastAsia="Calibri" w:hAnsi="Calibri"/>
          <w:sz w:val="19"/>
          <w:szCs w:val="19"/>
        </w:rPr>
        <w:t xml:space="preserve">An arrangement that was genuinely a contractor engagement at the start drifts towards employment as the person becomes embedded. Reassess anything running beyond twelve months rather than letting it continue by inertia.</w:t>
      </w:r>
    </w:p>
    <w:p>
      <w:pPr>
        <w:keepNext/>
        <w:spacing w:after="40" w:before="140"/>
      </w:pPr>
      <w:r>
        <w:rPr>
          <w:rFonts w:ascii="Calibri" w:cs="Calibri" w:eastAsia="Calibri" w:hAnsi="Calibri"/>
          <w:b/>
          <w:bCs/>
          <w:color w:val="14161B"/>
          <w:sz w:val="20"/>
          <w:szCs w:val="20"/>
        </w:rPr>
        <w:t xml:space="preserve">Free zone, DIFC and ADGM consultants</w:t>
      </w:r>
    </w:p>
    <w:p>
      <w:pPr>
        <w:spacing w:after="60" w:line="264"/>
        <w:jc w:val="both"/>
      </w:pPr>
      <w:r>
        <w:rPr>
          <w:rFonts w:ascii="Calibri" w:cs="Calibri" w:eastAsia="Calibri" w:hAnsi="Calibri"/>
          <w:sz w:val="19"/>
          <w:szCs w:val="19"/>
        </w:rPr>
        <w:t xml:space="preserve">Where the consultant is licensed in a free zone, check whether their licence permits providing services to a mainland client — and where you are the free zone party, whether buying those services affects your own qualifying income analysis.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Freelance permit categories, part-time work permit requirements, Green Visa conditions, VAT rules and withholding provisions all change — confirm the consultant’s permit position with MOHRE or the relevant zone before engaging, and take advice on any long-running or full-time arrangement.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2026-08-23T16:28:35.374Z</dcterms:created>
  <dcterms:modified xsi:type="dcterms:W3CDTF">2026-08-23T16:28:35.374Z</dcterms:modified>
</cp:coreProperties>
</file>

<file path=docProps/custom.xml><?xml version="1.0" encoding="utf-8"?>
<Properties xmlns="http://schemas.openxmlformats.org/officeDocument/2006/custom-properties" xmlns:vt="http://schemas.openxmlformats.org/officeDocument/2006/docPropsVTypes"/>
</file>