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END OF SERVICE GRATUITY</w:t>
      </w:r>
    </w:p>
    <w:p>
      <w:pPr>
        <w:spacing w:after="260"/>
        <w:jc w:val="center"/>
      </w:pPr>
      <w:r>
        <w:rPr>
          <w:rFonts w:ascii="Calibri" w:cs="Calibri" w:eastAsia="Calibri" w:hAnsi="Calibri"/>
          <w:i/>
          <w:iCs/>
          <w:color w:val="6E7480"/>
          <w:sz w:val="19"/>
          <w:szCs w:val="19"/>
        </w:rPr>
        <w:t xml:space="preserve">Calculation, worksheet and final settlement</w:t>
      </w:r>
    </w:p>
    <w:p>
      <w:pPr>
        <w:spacing w:after="180" w:before="0" w:line="276"/>
        <w:jc w:val="both"/>
      </w:pPr>
      <w:r>
        <w:rPr>
          <w:rFonts w:ascii="Calibri" w:cs="Calibri" w:eastAsia="Calibri" w:hAnsi="Calibri"/>
          <w:i/>
          <w:iCs/>
          <w:color w:val="6E7480"/>
          <w:sz w:val="21"/>
          <w:szCs w:val="21"/>
        </w:rPr>
        <w:t xml:space="preserve">Two things decide the number, and employers get both wrong. Gratuity is calculated on </w:t>
      </w:r>
      <w:r>
        <w:rPr>
          <w:rFonts w:ascii="Calibri" w:cs="Calibri" w:eastAsia="Calibri" w:hAnsi="Calibri"/>
          <w:b/>
          <w:bCs/>
          <w:i/>
          <w:iCs/>
          <w:color w:val="6E7480"/>
          <w:sz w:val="21"/>
          <w:szCs w:val="21"/>
        </w:rPr>
        <w:t xml:space="preserve">basic salary only</w:t>
      </w:r>
      <w:r>
        <w:rPr>
          <w:rFonts w:ascii="Calibri" w:cs="Calibri" w:eastAsia="Calibri" w:hAnsi="Calibri"/>
          <w:i/>
          <w:iCs/>
          <w:color w:val="6E7480"/>
          <w:sz w:val="21"/>
          <w:szCs w:val="21"/>
        </w:rPr>
        <w:t xml:space="preserve"> — not total package — and it accrues at </w:t>
      </w:r>
      <w:r>
        <w:rPr>
          <w:rFonts w:ascii="Calibri" w:cs="Calibri" w:eastAsia="Calibri" w:hAnsi="Calibri"/>
          <w:b/>
          <w:bCs/>
          <w:i/>
          <w:iCs/>
          <w:color w:val="6E7480"/>
          <w:sz w:val="21"/>
          <w:szCs w:val="21"/>
        </w:rPr>
        <w:t xml:space="preserve">21 days per year for the first five years, 30 days thereafter</w:t>
      </w:r>
      <w:r>
        <w:rPr>
          <w:rFonts w:ascii="Calibri" w:cs="Calibri" w:eastAsia="Calibri" w:hAnsi="Calibri"/>
          <w:i/>
          <w:iCs/>
          <w:color w:val="6E7480"/>
          <w:sz w:val="21"/>
          <w:szCs w:val="21"/>
        </w:rPr>
        <w:t xml:space="preserve">. Everything due must be paid </w:t>
      </w:r>
      <w:r>
        <w:rPr>
          <w:rFonts w:ascii="Calibri" w:cs="Calibri" w:eastAsia="Calibri" w:hAnsi="Calibri"/>
          <w:b/>
          <w:bCs/>
          <w:i/>
          <w:iCs/>
          <w:color w:val="6E7480"/>
          <w:sz w:val="21"/>
          <w:szCs w:val="21"/>
        </w:rPr>
        <w:t xml:space="preserve">within 14 days</w:t>
      </w:r>
      <w:r>
        <w:rPr>
          <w:rFonts w:ascii="Calibri" w:cs="Calibri" w:eastAsia="Calibri" w:hAnsi="Calibri"/>
          <w:i/>
          <w:iCs/>
          <w:color w:val="6E7480"/>
          <w:sz w:val="21"/>
          <w:szCs w:val="21"/>
        </w:rPr>
        <w:t xml:space="preserve"> of the last working day.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passport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Jurisdiction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w:t>
            </w:r>
            <w:r>
              <w:rPr>
                <w:rFonts w:ascii="Calibri" w:cs="Calibri" w:eastAsia="Calibri" w:hAnsi="Calibri"/>
                <w:sz w:val="19"/>
                <w:szCs w:val="19"/>
              </w:rPr>
              <w:t xml:space="preserve"> — </w:t>
            </w:r>
            <w:r>
              <w:rPr>
                <w:rFonts w:ascii="Calibri" w:cs="Calibri" w:eastAsia="Calibri" w:hAnsi="Calibri"/>
                <w:i/>
                <w:iCs/>
                <w:sz w:val="19"/>
                <w:szCs w:val="19"/>
              </w:rPr>
              <w:t xml:space="preserve">DIFC and ADGM use funded schemes instead; see the notes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working day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service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[YEARS]</w:t>
            </w:r>
            <w:r>
              <w:rPr>
                <w:rFonts w:ascii="Calibri" w:cs="Calibri" w:eastAsia="Calibri" w:hAnsi="Calibri"/>
                <w:sz w:val="19"/>
                <w:szCs w:val="19"/>
              </w:rPr>
              <w:t xml:space="preserve"> years </w:t>
            </w:r>
            <w:r>
              <w:rPr>
                <w:rFonts w:ascii="Calibri" w:cs="Calibri" w:eastAsia="Calibri" w:hAnsi="Calibri"/>
                <w:b/>
                <w:bCs/>
                <w:sz w:val="19"/>
                <w:szCs w:val="19"/>
              </w:rPr>
              <w:t xml:space="preserve">[MONTHS]</w:t>
            </w:r>
            <w:r>
              <w:rPr>
                <w:rFonts w:ascii="Calibri" w:cs="Calibri" w:eastAsia="Calibri" w:hAnsi="Calibri"/>
                <w:sz w:val="19"/>
                <w:szCs w:val="19"/>
              </w:rPr>
              <w:t xml:space="preserve"> months </w:t>
            </w:r>
            <w:r>
              <w:rPr>
                <w:rFonts w:ascii="Calibri" w:cs="Calibri" w:eastAsia="Calibri" w:hAnsi="Calibri"/>
                <w:b/>
                <w:bCs/>
                <w:sz w:val="19"/>
                <w:szCs w:val="19"/>
              </w:rPr>
              <w:t xml:space="preserve">[DAYS]</w:t>
            </w:r>
            <w:r>
              <w:rPr>
                <w:rFonts w:ascii="Calibri" w:cs="Calibri" w:eastAsia="Calibri" w:hAnsi="Calibri"/>
                <w:sz w:val="19"/>
                <w:szCs w:val="19"/>
              </w:rPr>
              <w:t xml:space="preserve"> days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Unpaid leave to exclude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[DAYS]</w:t>
            </w:r>
            <w:r>
              <w:rPr>
                <w:rFonts w:ascii="Calibri" w:cs="Calibri" w:eastAsia="Calibri" w:hAnsi="Calibri"/>
                <w:sz w:val="19"/>
                <w:szCs w:val="19"/>
              </w:rPr>
              <w:t xml:space="preserve"> days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Qualifying service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[YEARS]</w:t>
            </w:r>
            <w:r>
              <w:rPr>
                <w:rFonts w:ascii="Calibri" w:cs="Calibri" w:eastAsia="Calibri" w:hAnsi="Calibri"/>
                <w:sz w:val="19"/>
                <w:szCs w:val="19"/>
              </w:rPr>
              <w:t xml:space="preserve"> years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Basic salary at termination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per month</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salary (for the cap)</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per month</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 for termination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[Resignation / Employer termination / Expiry / Summary dismissal]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Payment due by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14 days from the last working day</w:t>
            </w:r>
          </w:p>
        </w:tc>
      </w:tr>
    </w:tbl>
    <w:p>
      <w:pPr>
        <w:spacing w:after="180"/>
      </w:pPr>
    </w:p>
    <w:p>
      <w:pPr>
        <w:keepNext/>
        <w:spacing w:after="120" w:before="280"/>
        <w:outlineLvl w:val="0"/>
      </w:pPr>
      <w:r>
        <w:rPr>
          <w:rFonts w:ascii="Calibri" w:cs="Calibri" w:eastAsia="Calibri" w:hAnsi="Calibri"/>
          <w:b/>
          <w:bCs/>
          <w:color w:val="14161B"/>
          <w:sz w:val="22"/>
          <w:szCs w:val="22"/>
        </w:rPr>
        <w:t xml:space="preserve">1. DOES GRATUITY ARISE?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2120"/>
        <w:gridCol w:w="462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Circumstance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Gratuity</w:t>
            </w:r>
          </w:p>
        </w:tc>
        <w:tc>
          <w:tcPr>
            <w:tcW w:type="dxa" w:w="46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Service under one year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None</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One year of continuous service is the qualifying threshold</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Resignation after one year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Full entitlement</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Under the current law, resignation no longer reduces gratuity</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 termination after one year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Full entitlement</w:t>
            </w:r>
          </w:p>
        </w:tc>
        <w:tc>
          <w:tcPr>
            <w:tcW w:type="dxa" w:w="4627"/>
            <w:tcMar>
              <w:top w:type="dxa" w:w="70"/>
              <w:left w:type="dxa" w:w="100"/>
              <w:bottom w:type="dxa" w:w="70"/>
              <w:right w:type="dxa" w:w="100"/>
            </w:tcMar>
            <w:vAlign w:val="center"/>
          </w:tcPr>
          <w:p>
            <w:pPr>
              <w:spacing w:after="0" w:line="240"/>
              <w:jc w:val="left"/>
            </w:pP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Expiry of the fixed term</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Full entitlement</w:t>
            </w:r>
          </w:p>
        </w:tc>
        <w:tc>
          <w:tcPr>
            <w:tcW w:type="dxa" w:w="4627"/>
            <w:tcMar>
              <w:top w:type="dxa" w:w="70"/>
              <w:left w:type="dxa" w:w="100"/>
              <w:bottom w:type="dxa" w:w="70"/>
              <w:right w:type="dxa" w:w="100"/>
            </w:tcMar>
            <w:vAlign w:val="center"/>
          </w:tcPr>
          <w:p>
            <w:pPr>
              <w:spacing w:after="0" w:line="240"/>
              <w:jc w:val="left"/>
            </w:pP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Summary dismissal on a statutory ground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[May be forfeited]</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Only where the ground and the procedure are properly established — take advice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Death in service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Full entitlement</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Paid to the estate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Part-time and flexible work models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[Pro-rated]</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Calculated on the basis prescribed for the model</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DIFC / ADGM employees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 applicable</w:t>
            </w:r>
          </w:p>
        </w:tc>
        <w:tc>
          <w:tcPr>
            <w:tcW w:type="dxa" w:w="46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Funded scheme contributions replace accrual</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Under the previous law, resignation before five years reduced gratuity to a fraction. That no longer applies. Calculators and templates still applying a resignation reduction are out of date and will understate what is owed.</w:t>
      </w:r>
    </w:p>
    <w:p>
      <w:pPr>
        <w:keepNext/>
        <w:spacing w:after="120" w:before="280"/>
        <w:outlineLvl w:val="0"/>
      </w:pPr>
      <w:r>
        <w:rPr>
          <w:rFonts w:ascii="Calibri" w:cs="Calibri" w:eastAsia="Calibri" w:hAnsi="Calibri"/>
          <w:b/>
          <w:bCs/>
          <w:color w:val="14161B"/>
          <w:sz w:val="22"/>
          <w:szCs w:val="22"/>
        </w:rPr>
        <w:t xml:space="preserve">2. THE CALCULATION</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Gratuity accrues on </w:t>
      </w:r>
      <w:r>
        <w:rPr>
          <w:rFonts w:ascii="Calibri" w:cs="Calibri" w:eastAsia="Calibri" w:hAnsi="Calibri"/>
          <w:b/>
          <w:bCs/>
          <w:sz w:val="21"/>
          <w:szCs w:val="21"/>
        </w:rPr>
        <w:t xml:space="preserve">basic salary</w:t>
      </w:r>
      <w:r>
        <w:rPr>
          <w:rFonts w:ascii="Calibri" w:cs="Calibri" w:eastAsia="Calibri" w:hAnsi="Calibri"/>
          <w:sz w:val="21"/>
          <w:szCs w:val="21"/>
        </w:rPr>
        <w:t xml:space="preserve">, excluding housing, transport and all other allowances.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daily rate is </w:t>
      </w:r>
      <w:r>
        <w:rPr>
          <w:rFonts w:ascii="Calibri" w:cs="Calibri" w:eastAsia="Calibri" w:hAnsi="Calibri"/>
          <w:b/>
          <w:bCs/>
          <w:sz w:val="21"/>
          <w:szCs w:val="21"/>
        </w:rPr>
        <w:t xml:space="preserve">basic monthly salary ÷ 30</w:t>
      </w:r>
      <w:r>
        <w:rPr>
          <w:rFonts w:ascii="Calibri" w:cs="Calibri" w:eastAsia="Calibri" w:hAnsi="Calibri"/>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771"/>
        <w:gridCol w:w="2891"/>
        <w:gridCol w:w="3662"/>
        <w:gridCol w:w="2314"/>
      </w:tblGrid>
      <w:tr>
        <w:trPr>
          <w:cantSplit/>
          <w:tblHeader/>
        </w:trPr>
        <w:tc>
          <w:tcPr>
            <w:tcW w:type="dxa" w:w="77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Step</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Basis</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Working</w:t>
            </w:r>
          </w:p>
        </w:tc>
        <w:tc>
          <w:tcPr>
            <w:tcW w:type="dxa" w:w="231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AED</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Basic monthly salary</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Daily rate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Basic ÷ 30</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3</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Years of service in the first five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[YEARS]</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4</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Gratuity, first five years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Daily rate × </w:t>
            </w:r>
            <w:r>
              <w:rPr>
                <w:rFonts w:ascii="Calibri" w:cs="Calibri" w:eastAsia="Calibri" w:hAnsi="Calibri"/>
                <w:b/>
                <w:bCs/>
                <w:sz w:val="18"/>
                <w:szCs w:val="18"/>
              </w:rPr>
              <w:t xml:space="preserve">21</w:t>
            </w:r>
            <w:r>
              <w:rPr>
                <w:rFonts w:ascii="Calibri" w:cs="Calibri" w:eastAsia="Calibri" w:hAnsi="Calibri"/>
                <w:sz w:val="18"/>
                <w:szCs w:val="18"/>
              </w:rPr>
              <w:t xml:space="preserve"> × </w:t>
            </w:r>
            <w:r>
              <w:rPr>
                <w:rFonts w:ascii="Calibri" w:cs="Calibri" w:eastAsia="Calibri" w:hAnsi="Calibri"/>
                <w:b/>
                <w:bCs/>
                <w:sz w:val="18"/>
                <w:szCs w:val="18"/>
              </w:rPr>
              <w:t xml:space="preserve">[YEARS]</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5</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Years of service beyond five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[YEARS]</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6</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Gratuity, years beyond five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Daily rate × </w:t>
            </w:r>
            <w:r>
              <w:rPr>
                <w:rFonts w:ascii="Calibri" w:cs="Calibri" w:eastAsia="Calibri" w:hAnsi="Calibri"/>
                <w:b/>
                <w:bCs/>
                <w:sz w:val="18"/>
                <w:szCs w:val="18"/>
              </w:rPr>
              <w:t xml:space="preserve">30</w:t>
            </w:r>
            <w:r>
              <w:rPr>
                <w:rFonts w:ascii="Calibri" w:cs="Calibri" w:eastAsia="Calibri" w:hAnsi="Calibri"/>
                <w:sz w:val="18"/>
                <w:szCs w:val="18"/>
              </w:rPr>
              <w:t xml:space="preserve"> × </w:t>
            </w:r>
            <w:r>
              <w:rPr>
                <w:rFonts w:ascii="Calibri" w:cs="Calibri" w:eastAsia="Calibri" w:hAnsi="Calibri"/>
                <w:b/>
                <w:bCs/>
                <w:sz w:val="18"/>
                <w:szCs w:val="18"/>
              </w:rPr>
              <w:t xml:space="preserve">[YEARS]</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7</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Part year, pro-rated</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Daily rate × rate × (months ÷ 12)</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8</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Gratuity subtotal</w:t>
            </w:r>
          </w:p>
        </w:tc>
        <w:tc>
          <w:tcPr>
            <w:tcW w:type="dxa" w:w="3662"/>
            <w:tcMar>
              <w:top w:type="dxa" w:w="70"/>
              <w:left w:type="dxa" w:w="100"/>
              <w:bottom w:type="dxa" w:w="70"/>
              <w:right w:type="dxa" w:w="100"/>
            </w:tcMar>
            <w:vAlign w:val="center"/>
          </w:tcPr>
          <w:p>
            <w:pPr>
              <w:spacing w:after="0" w:line="240"/>
              <w:jc w:val="left"/>
            </w:pP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9</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Cap check — two years’ total salary</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Total salary × 24</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rPr>
          <w:cantSplit/>
        </w:trPr>
        <w:tc>
          <w:tcPr>
            <w:tcW w:type="dxa" w:w="77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10</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Gratuity payable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Lower of step 8 and step 9</w:t>
            </w:r>
          </w:p>
        </w:tc>
        <w:tc>
          <w:tcPr>
            <w:tcW w:type="dxa" w:w="2314"/>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bl>
    <w:p>
      <w:pPr>
        <w:spacing w:after="140"/>
      </w:pPr>
    </w:p>
    <w:p>
      <w:pPr>
        <w:keepNext/>
        <w:spacing w:after="120" w:before="280"/>
        <w:outlineLvl w:val="0"/>
      </w:pPr>
      <w:r>
        <w:rPr>
          <w:rFonts w:ascii="Calibri" w:cs="Calibri" w:eastAsia="Calibri" w:hAnsi="Calibri"/>
          <w:b/>
          <w:bCs/>
          <w:color w:val="14161B"/>
          <w:sz w:val="22"/>
          <w:szCs w:val="22"/>
        </w:rPr>
        <w:t xml:space="preserve">3. WORKED ILLUSTRATION</w:t>
      </w:r>
    </w:p>
    <w:p>
      <w:pPr>
        <w:spacing w:after="100" w:before="0" w:line="276"/>
        <w:jc w:val="both"/>
      </w:pPr>
      <w:r>
        <w:rPr>
          <w:rFonts w:ascii="Calibri" w:cs="Calibri" w:eastAsia="Calibri" w:hAnsi="Calibri"/>
          <w:i/>
          <w:iCs/>
          <w:sz w:val="21"/>
          <w:szCs w:val="21"/>
        </w:rPr>
        <w:t xml:space="preserve">Illustrative only. Basic salary AED 10,000; total salary AED 18,000; seven years of service.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3855"/>
        <w:gridCol w:w="2507"/>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Calculation</w:t>
            </w:r>
          </w:p>
        </w:tc>
        <w:tc>
          <w:tcPr>
            <w:tcW w:type="dxa" w:w="250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AED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Daily rate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10,000 ÷ 30</w:t>
            </w:r>
          </w:p>
        </w:tc>
        <w:tc>
          <w:tcPr>
            <w:tcW w:type="dxa" w:w="2507"/>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333.33</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First five years</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333.33 × 21 × 5</w:t>
            </w:r>
          </w:p>
        </w:tc>
        <w:tc>
          <w:tcPr>
            <w:tcW w:type="dxa" w:w="2507"/>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35,000</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Years six and seven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333.33 × 30 × 2</w:t>
            </w:r>
          </w:p>
        </w:tc>
        <w:tc>
          <w:tcPr>
            <w:tcW w:type="dxa" w:w="2507"/>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20,000</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Subtotal</w:t>
            </w:r>
          </w:p>
        </w:tc>
        <w:tc>
          <w:tcPr>
            <w:tcW w:type="dxa" w:w="3855"/>
            <w:tcMar>
              <w:top w:type="dxa" w:w="70"/>
              <w:left w:type="dxa" w:w="100"/>
              <w:bottom w:type="dxa" w:w="70"/>
              <w:right w:type="dxa" w:w="100"/>
            </w:tcMar>
            <w:vAlign w:val="center"/>
          </w:tcPr>
          <w:p>
            <w:pPr>
              <w:spacing w:after="0" w:line="240"/>
              <w:jc w:val="left"/>
            </w:pPr>
          </w:p>
        </w:tc>
        <w:tc>
          <w:tcPr>
            <w:tcW w:type="dxa" w:w="250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55,000</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Cap: two years’ total salary</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18,000 × 24</w:t>
            </w:r>
          </w:p>
        </w:tc>
        <w:tc>
          <w:tcPr>
            <w:tcW w:type="dxa" w:w="2507"/>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432,000</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Payable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Lower of the two</w:t>
            </w:r>
          </w:p>
        </w:tc>
        <w:tc>
          <w:tcPr>
            <w:tcW w:type="dxa" w:w="250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55,000</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i/>
          <w:iCs/>
          <w:sz w:val="21"/>
          <w:szCs w:val="21"/>
        </w:rPr>
        <w:t xml:space="preserve">Note how far the cap sits above the entitlement. The two-year cap rarely binds except on very long service with a low basic-to-total ratio. What actually determines the number is the basic salary.</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FINAL SETTLEMENT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529"/>
        <w:gridCol w:w="2505"/>
        <w:gridCol w:w="2123"/>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w:t>
            </w:r>
          </w:p>
        </w:tc>
        <w:tc>
          <w:tcPr>
            <w:tcW w:type="dxa" w:w="452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Component</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w:t>
            </w:r>
          </w:p>
        </w:tc>
        <w:tc>
          <w:tcPr>
            <w:tcW w:type="dxa" w:w="212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AED</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Salary to the last working day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r>
              <w:rPr>
                <w:rFonts w:ascii="Calibri" w:cs="Calibri" w:eastAsia="Calibri" w:hAnsi="Calibri"/>
                <w:sz w:val="17"/>
                <w:szCs w:val="17"/>
              </w:rPr>
              <w:t xml:space="preserve"> days</w:t>
            </w:r>
          </w:p>
        </w:tc>
        <w:tc>
          <w:tcPr>
            <w:tcW w:type="dxa" w:w="212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Allowances to the last working day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r>
              <w:rPr>
                <w:rFonts w:ascii="Calibri" w:cs="Calibri" w:eastAsia="Calibri" w:hAnsi="Calibri"/>
                <w:sz w:val="17"/>
                <w:szCs w:val="17"/>
              </w:rPr>
              <w:t xml:space="preserve"> days</w:t>
            </w:r>
          </w:p>
        </w:tc>
        <w:tc>
          <w:tcPr>
            <w:tcW w:type="dxa" w:w="212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3</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Payment for untaken annual leave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r>
              <w:rPr>
                <w:rFonts w:ascii="Calibri" w:cs="Calibri" w:eastAsia="Calibri" w:hAnsi="Calibri"/>
                <w:sz w:val="17"/>
                <w:szCs w:val="17"/>
              </w:rPr>
              <w:t xml:space="preserve"> days</w:t>
            </w:r>
          </w:p>
        </w:tc>
        <w:tc>
          <w:tcPr>
            <w:tcW w:type="dxa" w:w="212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4</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[Payment in lieu of notice]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r>
              <w:rPr>
                <w:rFonts w:ascii="Calibri" w:cs="Calibri" w:eastAsia="Calibri" w:hAnsi="Calibri"/>
                <w:sz w:val="17"/>
                <w:szCs w:val="17"/>
              </w:rPr>
              <w:t xml:space="preserve"> days</w:t>
            </w:r>
          </w:p>
        </w:tc>
        <w:tc>
          <w:tcPr>
            <w:tcW w:type="dxa" w:w="212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5</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[Overtime outstanding]</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212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6</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[Commission or bonus earned]</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212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7</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End-of-service gratuity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Section 2</w:t>
            </w:r>
          </w:p>
        </w:tc>
        <w:tc>
          <w:tcPr>
            <w:tcW w:type="dxa" w:w="212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8</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[Repatriation ticket or its value]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212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9</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Outstanding reimbursements</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212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Gross payable</w:t>
            </w:r>
          </w:p>
        </w:tc>
        <w:tc>
          <w:tcPr>
            <w:tcW w:type="dxa" w:w="2505"/>
            <w:tcMar>
              <w:top w:type="dxa" w:w="70"/>
              <w:left w:type="dxa" w:w="100"/>
              <w:bottom w:type="dxa" w:w="70"/>
              <w:right w:type="dxa" w:w="100"/>
            </w:tcMar>
            <w:vAlign w:val="center"/>
          </w:tcPr>
          <w:p>
            <w:pPr>
              <w:spacing w:after="0" w:line="240"/>
              <w:jc w:val="left"/>
            </w:pPr>
          </w:p>
        </w:tc>
        <w:tc>
          <w:tcPr>
            <w:tcW w:type="dxa" w:w="212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10</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notice shortfall where the employee did not serve notice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[DAYS]</w:t>
            </w:r>
          </w:p>
        </w:tc>
        <w:tc>
          <w:tcPr>
            <w:tcW w:type="dxa" w:w="2123"/>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11</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recovery of advance or loan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2123"/>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rPr>
          <w:cantSplit/>
        </w:trP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12</w:t>
            </w: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Less: other lawful deduction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[AUTHORITY]</w:t>
            </w:r>
          </w:p>
        </w:tc>
        <w:tc>
          <w:tcPr>
            <w:tcW w:type="dxa" w:w="2123"/>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r>
              <w:rPr>
                <w:rFonts w:ascii="Calibri" w:cs="Calibri" w:eastAsia="Calibri" w:hAnsi="Calibri"/>
                <w:b/>
                <w:bCs/>
                <w:sz w:val="17"/>
                <w:szCs w:val="17"/>
              </w:rPr>
              <w:t xml:space="preserve">[AMOUNT]</w:t>
            </w:r>
            <w:r>
              <w:rPr>
                <w:rFonts w:ascii="Calibri" w:cs="Calibri" w:eastAsia="Calibri" w:hAnsi="Calibri"/>
                <w:sz w:val="17"/>
                <w:szCs w:val="17"/>
              </w:rPr>
              <w:t xml:space="preserve">)</w:t>
            </w:r>
          </w:p>
        </w:tc>
      </w:tr>
      <w:tr>
        <w:trPr>
          <w:cantSplit/>
        </w:trPr>
        <w:tc>
          <w:tcPr>
            <w:tcW w:type="dxa" w:w="481"/>
            <w:tcMar>
              <w:top w:type="dxa" w:w="70"/>
              <w:left w:type="dxa" w:w="100"/>
              <w:bottom w:type="dxa" w:w="70"/>
              <w:right w:type="dxa" w:w="100"/>
            </w:tcMar>
            <w:vAlign w:val="center"/>
          </w:tcPr>
          <w:p>
            <w:pPr>
              <w:spacing w:after="0" w:line="240"/>
              <w:jc w:val="center"/>
            </w:pPr>
          </w:p>
        </w:tc>
        <w:tc>
          <w:tcPr>
            <w:tcW w:type="dxa" w:w="452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Net payable within 14 days</w:t>
            </w:r>
          </w:p>
        </w:tc>
        <w:tc>
          <w:tcPr>
            <w:tcW w:type="dxa" w:w="2505"/>
            <w:tcMar>
              <w:top w:type="dxa" w:w="70"/>
              <w:left w:type="dxa" w:w="100"/>
              <w:bottom w:type="dxa" w:w="70"/>
              <w:right w:type="dxa" w:w="100"/>
            </w:tcMar>
            <w:vAlign w:val="center"/>
          </w:tcPr>
          <w:p>
            <w:pPr>
              <w:spacing w:after="0" w:line="240"/>
              <w:jc w:val="left"/>
            </w:pPr>
          </w:p>
        </w:tc>
        <w:tc>
          <w:tcPr>
            <w:tcW w:type="dxa" w:w="2123"/>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Employer costs — recruitment fees, work permit, visa, medical, Emirates ID — </w:t>
      </w:r>
      <w:r>
        <w:rPr>
          <w:rFonts w:ascii="Calibri" w:cs="Calibri" w:eastAsia="Calibri" w:hAnsi="Calibri"/>
          <w:i/>
          <w:iCs/>
          <w:sz w:val="21"/>
          <w:szCs w:val="21"/>
        </w:rPr>
        <w:t xml:space="preserve">cannot</w:t>
      </w:r>
      <w:r>
        <w:rPr>
          <w:rFonts w:ascii="Calibri" w:cs="Calibri" w:eastAsia="Calibri" w:hAnsi="Calibri"/>
          <w:i/>
          <w:iCs/>
          <w:sz w:val="21"/>
          <w:szCs w:val="21"/>
        </w:rPr>
        <w:t xml:space="preserve"> be deducted. Nor can training costs be recovered unless a lawful agreement provides for it and the deduction stays within the statutory limits.</w:t>
      </w:r>
    </w:p>
    <w:p>
      <w:pPr>
        <w:keepNext/>
        <w:spacing w:after="120" w:before="280"/>
        <w:outlineLvl w:val="0"/>
      </w:pPr>
      <w:r>
        <w:rPr>
          <w:rFonts w:ascii="Calibri" w:cs="Calibri" w:eastAsia="Calibri" w:hAnsi="Calibri"/>
          <w:b/>
          <w:bCs/>
          <w:color w:val="14161B"/>
          <w:sz w:val="22"/>
          <w:szCs w:val="22"/>
        </w:rPr>
        <w:t xml:space="preserve">5. EXIT PROCESS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819"/>
        <w:gridCol w:w="2698"/>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Timing</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Notice given or received in writing</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Day 0</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Gratuity and settlement computed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Leave balance reconciled to records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last day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Handover completed; property returned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last day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All sums paid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Within 14 days of the last working day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Settlement statement given to the employee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payment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Work permit cancelled through MOHRE or the zone authority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termination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Residence visa cancelled through GDRFA or ICP</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After settlement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Health insurance cancelled at the correct date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cancellation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 informed of the grace period after cancellation</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cancellation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Records retained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6. SETTLEMENT STATEMENT</w:t>
      </w:r>
    </w:p>
    <w:p>
      <w:pPr>
        <w:spacing w:after="12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 final settlement on cessation of employment on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sz w:val="21"/>
          <w:szCs w:val="21"/>
        </w:rPr>
        <w:t xml:space="preserve">Your employment ended on </w:t>
      </w:r>
      <w:r>
        <w:rPr>
          <w:rFonts w:ascii="Calibri" w:cs="Calibri" w:eastAsia="Calibri" w:hAnsi="Calibri"/>
          <w:b/>
          <w:bCs/>
          <w:sz w:val="21"/>
          <w:szCs w:val="21"/>
        </w:rPr>
        <w:t xml:space="preserve">[DATE]</w:t>
      </w:r>
      <w:r>
        <w:rPr>
          <w:rFonts w:ascii="Calibri" w:cs="Calibri" w:eastAsia="Calibri" w:hAnsi="Calibri"/>
          <w:sz w:val="21"/>
          <w:szCs w:val="21"/>
        </w:rPr>
        <w:t xml:space="preserve"> after </w:t>
      </w:r>
      <w:r>
        <w:rPr>
          <w:rFonts w:ascii="Calibri" w:cs="Calibri" w:eastAsia="Calibri" w:hAnsi="Calibri"/>
          <w:b/>
          <w:bCs/>
          <w:sz w:val="21"/>
          <w:szCs w:val="21"/>
        </w:rPr>
        <w:t xml:space="preserve">[YEARS]</w:t>
      </w:r>
      <w:r>
        <w:rPr>
          <w:rFonts w:ascii="Calibri" w:cs="Calibri" w:eastAsia="Calibri" w:hAnsi="Calibri"/>
          <w:sz w:val="21"/>
          <w:szCs w:val="21"/>
        </w:rPr>
        <w:t xml:space="preserve"> years and </w:t>
      </w:r>
      <w:r>
        <w:rPr>
          <w:rFonts w:ascii="Calibri" w:cs="Calibri" w:eastAsia="Calibri" w:hAnsi="Calibri"/>
          <w:b/>
          <w:bCs/>
          <w:sz w:val="21"/>
          <w:szCs w:val="21"/>
        </w:rPr>
        <w:t xml:space="preserve">[MONTHS]</w:t>
      </w:r>
      <w:r>
        <w:rPr>
          <w:rFonts w:ascii="Calibri" w:cs="Calibri" w:eastAsia="Calibri" w:hAnsi="Calibri"/>
          <w:sz w:val="21"/>
          <w:szCs w:val="21"/>
        </w:rPr>
        <w:t xml:space="preserve"> months of service. This statement sets out how your final payment has been calculated.</w:t>
      </w:r>
    </w:p>
    <w:p>
      <w:pPr>
        <w:spacing w:after="120" w:before="0" w:line="276"/>
        <w:jc w:val="both"/>
      </w:pPr>
      <w:r>
        <w:rPr>
          <w:rFonts w:ascii="Calibri" w:cs="Calibri" w:eastAsia="Calibri" w:hAnsi="Calibri"/>
          <w:b/>
          <w:bCs/>
          <w:sz w:val="21"/>
          <w:szCs w:val="21"/>
        </w:rPr>
        <w:t xml:space="preserve">Gratuity.</w:t>
      </w:r>
      <w:r>
        <w:rPr>
          <w:rFonts w:ascii="Calibri" w:cs="Calibri" w:eastAsia="Calibri" w:hAnsi="Calibri"/>
          <w:sz w:val="21"/>
          <w:szCs w:val="21"/>
        </w:rPr>
        <w:t xml:space="preserve"> Calculated on your basic salary of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per month: 21 days for each of the first five years and 30 days for each year after, giving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Leave.</w:t>
      </w:r>
      <w:r>
        <w:rPr>
          <w:rFonts w:ascii="Calibri" w:cs="Calibri" w:eastAsia="Calibri" w:hAnsi="Calibri"/>
          <w:sz w:val="21"/>
          <w:szCs w:val="21"/>
        </w:rPr>
        <w:t xml:space="preserve"> You had </w:t>
      </w:r>
      <w:r>
        <w:rPr>
          <w:rFonts w:ascii="Calibri" w:cs="Calibri" w:eastAsia="Calibri" w:hAnsi="Calibri"/>
          <w:b/>
          <w:bCs/>
          <w:sz w:val="21"/>
          <w:szCs w:val="21"/>
        </w:rPr>
        <w:t xml:space="preserve">[DAYS]</w:t>
      </w:r>
      <w:r>
        <w:rPr>
          <w:rFonts w:ascii="Calibri" w:cs="Calibri" w:eastAsia="Calibri" w:hAnsi="Calibri"/>
          <w:sz w:val="21"/>
          <w:szCs w:val="21"/>
        </w:rPr>
        <w:t xml:space="preserve"> days of untaken annual leave, paid at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per day.</w:t>
      </w:r>
    </w:p>
    <w:p>
      <w:pPr>
        <w:spacing w:after="120" w:before="0" w:line="276"/>
        <w:jc w:val="both"/>
      </w:pPr>
      <w:r>
        <w:rPr>
          <w:rFonts w:ascii="Calibri" w:cs="Calibri" w:eastAsia="Calibri" w:hAnsi="Calibri"/>
          <w:b/>
          <w:bCs/>
          <w:sz w:val="21"/>
          <w:szCs w:val="21"/>
        </w:rPr>
        <w:t xml:space="preserve">Total paid to you on </w:t>
      </w:r>
      <w:r>
        <w:rPr>
          <w:rFonts w:ascii="Calibri" w:cs="Calibri" w:eastAsia="Calibri" w:hAnsi="Calibri"/>
          <w:b/>
          <w:bCs/>
          <w:sz w:val="21"/>
          <w:szCs w:val="21"/>
        </w:rPr>
        <w:t xml:space="preserve">[DATE]</w:t>
      </w:r>
      <w:r>
        <w:rPr>
          <w:rFonts w:ascii="Calibri" w:cs="Calibri" w:eastAsia="Calibri" w:hAnsi="Calibri"/>
          <w:b/>
          <w:bCs/>
          <w:sz w:val="21"/>
          <w:szCs w:val="21"/>
        </w:rPr>
        <w:t xml:space="preserve">: AED </w:t>
      </w:r>
      <w:r>
        <w:rPr>
          <w:rFonts w:ascii="Calibri" w:cs="Calibri" w:eastAsia="Calibri" w:hAnsi="Calibri"/>
          <w:b/>
          <w:bCs/>
          <w:sz w:val="21"/>
          <w:szCs w:val="21"/>
        </w:rPr>
        <w:t xml:space="preserve">[AMOUNT]</w:t>
      </w:r>
      <w:r>
        <w:rPr>
          <w:rFonts w:ascii="Calibri" w:cs="Calibri" w:eastAsia="Calibri" w:hAnsi="Calibri"/>
          <w:sz w:val="21"/>
          <w:szCs w:val="21"/>
        </w:rPr>
        <w:t xml:space="preserve">, to account </w:t>
      </w:r>
      <w:r>
        <w:rPr>
          <w:rFonts w:ascii="Calibri" w:cs="Calibri" w:eastAsia="Calibri" w:hAnsi="Calibri"/>
          <w:b/>
          <w:bCs/>
          <w:sz w:val="21"/>
          <w:szCs w:val="21"/>
        </w:rPr>
        <w:t xml:space="preserve">[DETAIL]</w:t>
      </w:r>
      <w:r>
        <w:rPr>
          <w:rFonts w:ascii="Calibri" w:cs="Calibri" w:eastAsia="Calibri" w:hAnsi="Calibri"/>
          <w:sz w:val="21"/>
          <w:szCs w:val="21"/>
        </w:rPr>
        <w:t xml:space="preserve">.</w:t>
      </w:r>
    </w:p>
    <w:p>
      <w:pPr>
        <w:spacing w:after="160" w:before="0" w:line="276"/>
        <w:jc w:val="both"/>
      </w:pPr>
      <w:r>
        <w:rPr>
          <w:rFonts w:ascii="Calibri" w:cs="Calibri" w:eastAsia="Calibri" w:hAnsi="Calibri"/>
          <w:sz w:val="21"/>
          <w:szCs w:val="21"/>
        </w:rPr>
        <w:t xml:space="preserve">Your work permit and residence visa will be cancelled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Please note the grace period that applies afterwards. If you believe anything here is incorrect, contact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w:t>
      </w:r>
    </w:p>
    <w:p>
      <w:pPr>
        <w:spacing w:after="18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Basic salary only — this is the most common error</w:t>
      </w:r>
    </w:p>
    <w:p>
      <w:pPr>
        <w:spacing w:after="60" w:line="264"/>
        <w:jc w:val="both"/>
      </w:pPr>
      <w:r>
        <w:rPr>
          <w:rFonts w:ascii="Calibri" w:cs="Calibri" w:eastAsia="Calibri" w:hAnsi="Calibri"/>
          <w:sz w:val="19"/>
          <w:szCs w:val="19"/>
        </w:rPr>
        <w:t xml:space="preserve">Gratuity is calculated on basic salary, excluding housing, transport and every other allowance. An employer computing on total package will substantially overpay; an employee expecting it on total package will feel short-changed. State the basic salary clearly in the contract and the offer so nobody is surprised at the end.</w:t>
      </w:r>
    </w:p>
    <w:p>
      <w:pPr>
        <w:keepNext/>
        <w:spacing w:after="40" w:before="140"/>
      </w:pPr>
      <w:r>
        <w:rPr>
          <w:rFonts w:ascii="Calibri" w:cs="Calibri" w:eastAsia="Calibri" w:hAnsi="Calibri"/>
          <w:b/>
          <w:bCs/>
          <w:color w:val="14161B"/>
          <w:sz w:val="20"/>
          <w:szCs w:val="20"/>
        </w:rPr>
        <w:t xml:space="preserve">Twenty-one days, then thirty</w:t>
      </w:r>
    </w:p>
    <w:p>
      <w:pPr>
        <w:spacing w:after="60" w:line="264"/>
        <w:jc w:val="both"/>
      </w:pPr>
      <w:r>
        <w:rPr>
          <w:rFonts w:ascii="Calibri" w:cs="Calibri" w:eastAsia="Calibri" w:hAnsi="Calibri"/>
          <w:sz w:val="19"/>
          <w:szCs w:val="19"/>
        </w:rPr>
        <w:t xml:space="preserve">Twenty-one days’ basic salary for each of the first five years, thirty days for each year after that. The daily rate is basic monthly salary divided by 30.</w:t>
      </w:r>
    </w:p>
    <w:p>
      <w:pPr>
        <w:keepNext/>
        <w:spacing w:after="40" w:before="140"/>
      </w:pPr>
      <w:r>
        <w:rPr>
          <w:rFonts w:ascii="Calibri" w:cs="Calibri" w:eastAsia="Calibri" w:hAnsi="Calibri"/>
          <w:b/>
          <w:bCs/>
          <w:color w:val="14161B"/>
          <w:sz w:val="20"/>
          <w:szCs w:val="20"/>
        </w:rPr>
        <w:t xml:space="preserve">Resignation no longer reduces gratuity</w:t>
      </w:r>
    </w:p>
    <w:p>
      <w:pPr>
        <w:spacing w:after="60" w:line="264"/>
        <w:jc w:val="both"/>
      </w:pPr>
      <w:r>
        <w:rPr>
          <w:rFonts w:ascii="Calibri" w:cs="Calibri" w:eastAsia="Calibri" w:hAnsi="Calibri"/>
          <w:sz w:val="19"/>
          <w:szCs w:val="19"/>
        </w:rPr>
        <w:t xml:space="preserve">The previous law scaled gratuity down for employees resigning before five years. That was removed. Online calculators, HR templates and internal policies still applying a resignation reduction are out of date and will understate the entitlement — which becomes a MOHRE complaint.</w:t>
      </w:r>
    </w:p>
    <w:p>
      <w:pPr>
        <w:keepNext/>
        <w:spacing w:after="40" w:before="140"/>
      </w:pPr>
      <w:r>
        <w:rPr>
          <w:rFonts w:ascii="Calibri" w:cs="Calibri" w:eastAsia="Calibri" w:hAnsi="Calibri"/>
          <w:b/>
          <w:bCs/>
          <w:color w:val="14161B"/>
          <w:sz w:val="20"/>
          <w:szCs w:val="20"/>
        </w:rPr>
        <w:t xml:space="preserve">One year is the threshold</w:t>
      </w:r>
    </w:p>
    <w:p>
      <w:pPr>
        <w:spacing w:after="60" w:line="264"/>
        <w:jc w:val="both"/>
      </w:pPr>
      <w:r>
        <w:rPr>
          <w:rFonts w:ascii="Calibri" w:cs="Calibri" w:eastAsia="Calibri" w:hAnsi="Calibri"/>
          <w:sz w:val="19"/>
          <w:szCs w:val="19"/>
        </w:rPr>
        <w:t xml:space="preserve">No gratuity accrues below one year of continuous service. Above it, entitlement runs from the first day, with part years pro-rated.</w:t>
      </w:r>
    </w:p>
    <w:p>
      <w:pPr>
        <w:keepNext/>
        <w:spacing w:after="40" w:before="140"/>
      </w:pPr>
      <w:r>
        <w:rPr>
          <w:rFonts w:ascii="Calibri" w:cs="Calibri" w:eastAsia="Calibri" w:hAnsi="Calibri"/>
          <w:b/>
          <w:bCs/>
          <w:color w:val="14161B"/>
          <w:sz w:val="20"/>
          <w:szCs w:val="20"/>
        </w:rPr>
        <w:t xml:space="preserve">Fourteen days to pay</w:t>
      </w:r>
    </w:p>
    <w:p>
      <w:pPr>
        <w:spacing w:after="60" w:line="264"/>
        <w:jc w:val="both"/>
      </w:pPr>
      <w:r>
        <w:rPr>
          <w:rFonts w:ascii="Calibri" w:cs="Calibri" w:eastAsia="Calibri" w:hAnsi="Calibri"/>
          <w:sz w:val="19"/>
          <w:szCs w:val="19"/>
        </w:rPr>
        <w:t xml:space="preserve">All end-of-service entitlements are due within 14 days of the last working day. That is short, and it covers gratuity, leave encashment, final salary and any notice payment. Begin the computation when notice is given rather than after the employee has left.</w:t>
      </w:r>
    </w:p>
    <w:p>
      <w:pPr>
        <w:keepNext/>
        <w:spacing w:after="40" w:before="140"/>
      </w:pPr>
      <w:r>
        <w:rPr>
          <w:rFonts w:ascii="Calibri" w:cs="Calibri" w:eastAsia="Calibri" w:hAnsi="Calibri"/>
          <w:b/>
          <w:bCs/>
          <w:color w:val="14161B"/>
          <w:sz w:val="20"/>
          <w:szCs w:val="20"/>
        </w:rPr>
        <w:t xml:space="preserve">The two-year cap rarely binds</w:t>
      </w:r>
    </w:p>
    <w:p>
      <w:pPr>
        <w:spacing w:after="60" w:line="264"/>
        <w:jc w:val="both"/>
      </w:pPr>
      <w:r>
        <w:rPr>
          <w:rFonts w:ascii="Calibri" w:cs="Calibri" w:eastAsia="Calibri" w:hAnsi="Calibri"/>
          <w:sz w:val="19"/>
          <w:szCs w:val="19"/>
        </w:rPr>
        <w:t xml:space="preserve">Total gratuity cannot exceed two years’ total salary. On any normal package that ceiling sits far above the entitlement, as the worked illustration shows. What actually drives the figure is the basic salary, not the cap.</w:t>
      </w:r>
    </w:p>
    <w:p>
      <w:pPr>
        <w:keepNext/>
        <w:spacing w:after="40" w:before="140"/>
      </w:pPr>
      <w:r>
        <w:rPr>
          <w:rFonts w:ascii="Calibri" w:cs="Calibri" w:eastAsia="Calibri" w:hAnsi="Calibri"/>
          <w:b/>
          <w:bCs/>
          <w:color w:val="14161B"/>
          <w:sz w:val="20"/>
          <w:szCs w:val="20"/>
        </w:rPr>
        <w:t xml:space="preserve">DIFC and ADGM are different regimes entirely</w:t>
      </w:r>
    </w:p>
    <w:p>
      <w:pPr>
        <w:spacing w:after="60" w:line="264"/>
        <w:jc w:val="both"/>
      </w:pPr>
      <w:r>
        <w:rPr>
          <w:rFonts w:ascii="Calibri" w:cs="Calibri" w:eastAsia="Calibri" w:hAnsi="Calibri"/>
          <w:sz w:val="19"/>
          <w:szCs w:val="19"/>
        </w:rPr>
        <w:t xml:space="preserve">DIFC employers contribute monthly into DEWS or a certified alternative qualifying scheme instead of accruing gratuity, and ADGM operates its own funded arrangement. A gratuity calculation applied to a DIFC employee is simply the wrong instrument. Confirm the jurisdiction before computing anything.</w:t>
      </w:r>
    </w:p>
    <w:p>
      <w:pPr>
        <w:keepNext/>
        <w:spacing w:after="40" w:before="140"/>
      </w:pPr>
      <w:r>
        <w:rPr>
          <w:rFonts w:ascii="Calibri" w:cs="Calibri" w:eastAsia="Calibri" w:hAnsi="Calibri"/>
          <w:b/>
          <w:bCs/>
          <w:color w:val="14161B"/>
          <w:sz w:val="20"/>
          <w:szCs w:val="20"/>
        </w:rPr>
        <w:t xml:space="preserve">Structure the package deliberately</w:t>
      </w:r>
    </w:p>
    <w:p>
      <w:pPr>
        <w:spacing w:after="60" w:line="264"/>
        <w:jc w:val="both"/>
      </w:pPr>
      <w:r>
        <w:rPr>
          <w:rFonts w:ascii="Calibri" w:cs="Calibri" w:eastAsia="Calibri" w:hAnsi="Calibri"/>
          <w:sz w:val="19"/>
          <w:szCs w:val="19"/>
        </w:rPr>
        <w:t xml:space="preserve">Because gratuity attaches to basic salary alone, the basic-to-allowance split has a real long-term cost consequence. A structure weighted towards allowances is lawful and common. It should be a conscious decision made at offer stage and disclosed, not a surprise discovered after seven years of service.</w:t>
      </w:r>
    </w:p>
    <w:p>
      <w:pPr>
        <w:keepNext/>
        <w:spacing w:after="40" w:before="140"/>
      </w:pPr>
      <w:r>
        <w:rPr>
          <w:rFonts w:ascii="Calibri" w:cs="Calibri" w:eastAsia="Calibri" w:hAnsi="Calibri"/>
          <w:b/>
          <w:bCs/>
          <w:color w:val="14161B"/>
          <w:sz w:val="20"/>
          <w:szCs w:val="20"/>
        </w:rPr>
        <w:t xml:space="preserve">Employer costs cannot be deducted</w:t>
      </w:r>
    </w:p>
    <w:p>
      <w:pPr>
        <w:spacing w:after="60" w:line="264"/>
        <w:jc w:val="both"/>
      </w:pPr>
      <w:r>
        <w:rPr>
          <w:rFonts w:ascii="Calibri" w:cs="Calibri" w:eastAsia="Calibri" w:hAnsi="Calibri"/>
          <w:sz w:val="19"/>
          <w:szCs w:val="19"/>
        </w:rPr>
        <w:t xml:space="preserve">Recruitment fees, work permits, visas, medical testing and Emirates ID are employer costs by law and cannot be recovered from the final settlement. Attempting to net them off is a contravention and is among the more commonly enforced points.</w:t>
      </w:r>
    </w:p>
    <w:p>
      <w:pPr>
        <w:keepNext/>
        <w:spacing w:after="40" w:before="140"/>
      </w:pPr>
      <w:r>
        <w:rPr>
          <w:rFonts w:ascii="Calibri" w:cs="Calibri" w:eastAsia="Calibri" w:hAnsi="Calibri"/>
          <w:b/>
          <w:bCs/>
          <w:color w:val="14161B"/>
          <w:sz w:val="20"/>
          <w:szCs w:val="20"/>
        </w:rPr>
        <w:t xml:space="preserve">Unpaid leave reduces qualifying service</w:t>
      </w:r>
    </w:p>
    <w:p>
      <w:pPr>
        <w:spacing w:after="60" w:line="264"/>
        <w:jc w:val="both"/>
      </w:pPr>
      <w:r>
        <w:rPr>
          <w:rFonts w:ascii="Calibri" w:cs="Calibri" w:eastAsia="Calibri" w:hAnsi="Calibri"/>
          <w:sz w:val="19"/>
          <w:szCs w:val="19"/>
        </w:rPr>
        <w:t xml:space="preserve">Periods of unpaid leave are excluded from the service calculation. Sick leave and paid statutory leave are not. Track unpaid periods contemporaneously rather than reconstructing them at exit.</w:t>
      </w:r>
    </w:p>
    <w:p>
      <w:pPr>
        <w:keepNext/>
        <w:spacing w:after="40" w:before="140"/>
      </w:pPr>
      <w:r>
        <w:rPr>
          <w:rFonts w:ascii="Calibri" w:cs="Calibri" w:eastAsia="Calibri" w:hAnsi="Calibri"/>
          <w:b/>
          <w:bCs/>
          <w:color w:val="14161B"/>
          <w:sz w:val="20"/>
          <w:szCs w:val="20"/>
        </w:rPr>
        <w:t xml:space="preserve">Summary dismissal and forfeiture need care</w:t>
      </w:r>
    </w:p>
    <w:p>
      <w:pPr>
        <w:spacing w:after="60" w:line="264"/>
        <w:jc w:val="both"/>
      </w:pPr>
      <w:r>
        <w:rPr>
          <w:rFonts w:ascii="Calibri" w:cs="Calibri" w:eastAsia="Calibri" w:hAnsi="Calibri"/>
          <w:sz w:val="19"/>
          <w:szCs w:val="19"/>
        </w:rPr>
        <w:t xml:space="preserve">Forfeiture of gratuity on summary dismissal is available only where a statutory ground is properly established and the required procedure followed, including giving the employee an opportunity to respond. Employers reach for it too readily, and a forfeiture that fails converts into an arbitrary dismissal claim as well.</w:t>
      </w:r>
    </w:p>
    <w:p>
      <w:pPr>
        <w:keepNext/>
        <w:spacing w:after="40" w:before="140"/>
      </w:pPr>
      <w:r>
        <w:rPr>
          <w:rFonts w:ascii="Calibri" w:cs="Calibri" w:eastAsia="Calibri" w:hAnsi="Calibri"/>
          <w:b/>
          <w:bCs/>
          <w:color w:val="14161B"/>
          <w:sz w:val="20"/>
          <w:szCs w:val="20"/>
        </w:rPr>
        <w:t xml:space="preserve">Reconcile leave to records, not memory</w:t>
      </w:r>
    </w:p>
    <w:p>
      <w:pPr>
        <w:spacing w:after="60" w:line="264"/>
        <w:jc w:val="both"/>
      </w:pPr>
      <w:r>
        <w:rPr>
          <w:rFonts w:ascii="Calibri" w:cs="Calibri" w:eastAsia="Calibri" w:hAnsi="Calibri"/>
          <w:sz w:val="19"/>
          <w:szCs w:val="19"/>
        </w:rPr>
        <w:t xml:space="preserve">Untaken leave is the second most disputed line in a UAE final settlement after gratuity. Reconcile to the leave system, show accrued less taken, and state the daily rate used. A bare figure invites a challenge.</w:t>
      </w:r>
    </w:p>
    <w:p>
      <w:pPr>
        <w:keepNext/>
        <w:spacing w:after="40" w:before="140"/>
      </w:pPr>
      <w:r>
        <w:rPr>
          <w:rFonts w:ascii="Calibri" w:cs="Calibri" w:eastAsia="Calibri" w:hAnsi="Calibri"/>
          <w:b/>
          <w:bCs/>
          <w:color w:val="14161B"/>
          <w:sz w:val="20"/>
          <w:szCs w:val="20"/>
        </w:rPr>
        <w:t xml:space="preserve">Do not cancel the visa before settling</w:t>
      </w:r>
    </w:p>
    <w:p>
      <w:pPr>
        <w:spacing w:after="60" w:line="264"/>
        <w:jc w:val="both"/>
      </w:pPr>
      <w:r>
        <w:rPr>
          <w:rFonts w:ascii="Calibri" w:cs="Calibri" w:eastAsia="Calibri" w:hAnsi="Calibri"/>
          <w:sz w:val="19"/>
          <w:szCs w:val="19"/>
        </w:rPr>
        <w:t xml:space="preserve">Cancellation and settlement are separate steps, and cancelling first removes the employee’s leverage and their status. Settle, issue the statement, then cancel — and tell the employee about the grace period that follows.</w:t>
      </w:r>
    </w:p>
    <w:p>
      <w:pPr>
        <w:keepNext/>
        <w:spacing w:after="40" w:before="140"/>
      </w:pPr>
      <w:r>
        <w:rPr>
          <w:rFonts w:ascii="Calibri" w:cs="Calibri" w:eastAsia="Calibri" w:hAnsi="Calibri"/>
          <w:b/>
          <w:bCs/>
          <w:color w:val="14161B"/>
          <w:sz w:val="20"/>
          <w:szCs w:val="20"/>
        </w:rPr>
        <w:t xml:space="preserve">Give the employee the working</w:t>
      </w:r>
    </w:p>
    <w:p>
      <w:pPr>
        <w:spacing w:after="60" w:line="264"/>
        <w:jc w:val="both"/>
      </w:pPr>
      <w:r>
        <w:rPr>
          <w:rFonts w:ascii="Calibri" w:cs="Calibri" w:eastAsia="Calibri" w:hAnsi="Calibri"/>
          <w:sz w:val="19"/>
          <w:szCs w:val="19"/>
        </w:rPr>
        <w:t xml:space="preserve">The settlement statement in Section 6 shows the basis of each figure. Most gratuity disputes are arithmetic that was never explained. A single page prevents a large share of MOHRE complaints.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Federal Decree-Law 33/2021 and its Cabinet resolutions govern gratuity, and DIFC and ADGM operate separate funded schemes whose rates and rules change — confirm the current position with MOHRE, the relevant free zone, or a UAE employment adviser before finalising a settlement.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2026-08-23T16:28:32.086Z</dcterms:created>
  <dcterms:modified xsi:type="dcterms:W3CDTF">2026-08-23T16:28:32.086Z</dcterms:modified>
</cp:coreProperties>
</file>

<file path=docProps/custom.xml><?xml version="1.0" encoding="utf-8"?>
<Properties xmlns="http://schemas.openxmlformats.org/officeDocument/2006/custom-properties" xmlns:vt="http://schemas.openxmlformats.org/officeDocument/2006/docPropsVTypes"/>
</file>