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CONTRACT OF EMPLOYMENT</w:t>
      </w:r>
    </w:p>
    <w:p>
      <w:pPr>
        <w:spacing w:after="260"/>
        <w:jc w:val="center"/>
      </w:pPr>
      <w:r>
        <w:rPr>
          <w:rFonts w:ascii="Calibri" w:cs="Calibri" w:eastAsia="Calibri" w:hAnsi="Calibri"/>
          <w:i/>
          <w:iCs/>
          <w:color w:val="6E7480"/>
          <w:sz w:val="19"/>
          <w:szCs w:val="19"/>
        </w:rPr>
        <w:t xml:space="preserve">Mainland UAE — supplementary to the MOHRE registered contract</w:t>
      </w:r>
    </w:p>
    <w:p>
      <w:pPr>
        <w:spacing w:after="180" w:before="0" w:line="276"/>
        <w:jc w:val="both"/>
      </w:pPr>
      <w:r>
        <w:rPr>
          <w:rFonts w:ascii="Calibri" w:cs="Calibri" w:eastAsia="Calibri" w:hAnsi="Calibri"/>
          <w:i/>
          <w:iCs/>
          <w:color w:val="6E7480"/>
          <w:sz w:val="21"/>
          <w:szCs w:val="21"/>
        </w:rPr>
        <w:t xml:space="preserve">The operative employment contract in the mainland UAE is the </w:t>
      </w:r>
      <w:r>
        <w:rPr>
          <w:rFonts w:ascii="Calibri" w:cs="Calibri" w:eastAsia="Calibri" w:hAnsi="Calibri"/>
          <w:b/>
          <w:bCs/>
          <w:i/>
          <w:iCs/>
          <w:color w:val="6E7480"/>
          <w:sz w:val="21"/>
          <w:szCs w:val="21"/>
        </w:rPr>
        <w:t xml:space="preserve">MOHRE standard contract</w:t>
      </w:r>
      <w:r>
        <w:rPr>
          <w:rFonts w:ascii="Calibri" w:cs="Calibri" w:eastAsia="Calibri" w:hAnsi="Calibri"/>
          <w:i/>
          <w:iCs/>
          <w:color w:val="6E7480"/>
          <w:sz w:val="21"/>
          <w:szCs w:val="21"/>
        </w:rPr>
        <w:t xml:space="preserve">, generated through the ministry and registered within 14 days of work permit approval. This document supplements it with the commercial and protective terms the standard form does not carry. </w:t>
      </w:r>
      <w:r>
        <w:rPr>
          <w:rFonts w:ascii="Calibri" w:cs="Calibri" w:eastAsia="Calibri" w:hAnsi="Calibri"/>
          <w:b/>
          <w:bCs/>
          <w:i/>
          <w:iCs/>
          <w:color w:val="6E7480"/>
          <w:sz w:val="21"/>
          <w:szCs w:val="21"/>
        </w:rPr>
        <w:t xml:space="preserve">It cannot contradict the MOHRE contract, and it cannot reduce any statutory entitlement.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[nationality]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MOHRE contract reference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registered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Contract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Fixed term</w:t>
            </w:r>
            <w:r>
              <w:rPr>
                <w:rFonts w:ascii="Calibri" w:cs="Calibri" w:eastAsia="Calibri" w:hAnsi="Calibri"/>
                <w:sz w:val="19"/>
                <w:szCs w:val="19"/>
              </w:rPr>
              <w:t xml:space="preserve"> — all contracts are fixed-term under Federal Decree-Law 33/2021</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r>
              <w:rPr>
                <w:rFonts w:ascii="Calibri" w:cs="Calibri" w:eastAsia="Calibri" w:hAnsi="Calibri"/>
                <w:sz w:val="19"/>
                <w:szCs w:val="19"/>
              </w:rPr>
              <w:t xml:space="preserve"> — </w:t>
            </w:r>
            <w:r>
              <w:rPr>
                <w:rFonts w:ascii="Calibri" w:cs="Calibri" w:eastAsia="Calibri" w:hAnsi="Calibri"/>
                <w:b/>
                <w:bCs/>
                <w:sz w:val="19"/>
                <w:szCs w:val="19"/>
              </w:rPr>
              <w:t xml:space="preserve">[2 or 3]</w:t>
            </w:r>
            <w:r>
              <w:rPr>
                <w:rFonts w:ascii="Calibri" w:cs="Calibri" w:eastAsia="Calibri" w:hAnsi="Calibri"/>
                <w:sz w:val="19"/>
                <w:szCs w:val="19"/>
              </w:rPr>
              <w:t xml:space="preserve"> years, renewable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 (as on the work permit)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MOHRE skill level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[1–9]</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location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 / EMIRATE]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Basic salary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 — </w:t>
            </w:r>
            <w:r>
              <w:rPr>
                <w:rFonts w:ascii="Calibri" w:cs="Calibri" w:eastAsia="Calibri" w:hAnsi="Calibri"/>
                <w:i/>
                <w:iCs/>
                <w:sz w:val="19"/>
                <w:szCs w:val="19"/>
              </w:rPr>
              <w:t xml:space="preserve">the gratuity base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salary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 </w:t>
            </w:r>
            <w:r>
              <w:rPr>
                <w:rFonts w:ascii="Calibri" w:cs="Calibri" w:eastAsia="Calibri" w:hAnsi="Calibri"/>
                <w:b/>
                <w:bCs/>
                <w:sz w:val="19"/>
                <w:szCs w:val="19"/>
              </w:rPr>
              <w:t xml:space="preserve">maximum 6</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[30–90]</w:t>
            </w:r>
            <w:r>
              <w:rPr>
                <w:rFonts w:ascii="Calibri" w:cs="Calibri" w:eastAsia="Calibri" w:hAnsi="Calibri"/>
                <w:sz w:val="19"/>
                <w:szCs w:val="19"/>
              </w:rPr>
              <w:t xml:space="preserve"> days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Arabic and English; </w:t>
            </w:r>
            <w:r>
              <w:rPr>
                <w:rFonts w:ascii="Calibri" w:cs="Calibri" w:eastAsia="Calibri" w:hAnsi="Calibri"/>
                <w:b/>
                <w:bCs/>
                <w:sz w:val="19"/>
                <w:szCs w:val="19"/>
              </w:rPr>
              <w:t xml:space="preserve">the Arabic prevails</w:t>
            </w:r>
          </w:p>
        </w:tc>
      </w:tr>
    </w:tbl>
    <w:p>
      <w:pPr>
        <w:spacing w:after="180"/>
      </w:pPr>
    </w:p>
    <w:p>
      <w:pPr>
        <w:keepNext/>
        <w:spacing w:after="120" w:before="280"/>
        <w:outlineLvl w:val="0"/>
      </w:pPr>
      <w:r>
        <w:rPr>
          <w:rFonts w:ascii="Calibri" w:cs="Calibri" w:eastAsia="Calibri" w:hAnsi="Calibri"/>
          <w:b/>
          <w:bCs/>
          <w:color w:val="14161B"/>
          <w:sz w:val="22"/>
          <w:szCs w:val="22"/>
        </w:rPr>
        <w:t xml:space="preserve">1. RELATIONSHIP WITH THE MOHRE CONTRACT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Employee is engaged on the terms of the MOHRE standard contract registered under reference </w:t>
      </w:r>
      <w:r>
        <w:rPr>
          <w:rFonts w:ascii="Calibri" w:cs="Calibri" w:eastAsia="Calibri" w:hAnsi="Calibri"/>
          <w:b/>
          <w:bCs/>
          <w:sz w:val="21"/>
          <w:szCs w:val="21"/>
        </w:rPr>
        <w:t xml:space="preserve">[NUMBER]</w:t>
      </w:r>
      <w:r>
        <w:rPr>
          <w:rFonts w:ascii="Calibri" w:cs="Calibri" w:eastAsia="Calibri" w:hAnsi="Calibri"/>
          <w:sz w:val="21"/>
          <w:szCs w:val="21"/>
        </w:rPr>
        <w:t xml:space="preserve">, which is the operative contract for the purposes of Federal Decree-Law 33/2021.</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This agreement supplements that contract. </w:t>
      </w:r>
      <w:r>
        <w:rPr>
          <w:rFonts w:ascii="Calibri" w:cs="Calibri" w:eastAsia="Calibri" w:hAnsi="Calibri"/>
          <w:b/>
          <w:bCs/>
          <w:sz w:val="21"/>
          <w:szCs w:val="21"/>
        </w:rPr>
        <w:t xml:space="preserve">Where they conflict, the MOHRE contract and the Law prevail.</w:t>
      </w:r>
      <w:r>
        <w:rPr>
          <w:rFonts w:ascii="Calibri" w:cs="Calibri" w:eastAsia="Calibri" w:hAnsi="Calibri"/>
          <w:sz w:val="21"/>
          <w:szCs w:val="21"/>
        </w:rPr>
        <w:t xml:space="preserve"> Nothing in this agreement reduces any entitlement conferred by the Law.</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Any change to the terms of the MOHRE contract — including salary, job title or the nature of the work — requires the Employee’s </w:t>
      </w:r>
      <w:r>
        <w:rPr>
          <w:rFonts w:ascii="Calibri" w:cs="Calibri" w:eastAsia="Calibri" w:hAnsi="Calibri"/>
          <w:b/>
          <w:bCs/>
          <w:sz w:val="21"/>
          <w:szCs w:val="21"/>
        </w:rPr>
        <w:t xml:space="preserve">explicit written consent</w:t>
      </w:r>
      <w:r>
        <w:rPr>
          <w:rFonts w:ascii="Calibri" w:cs="Calibri" w:eastAsia="Calibri" w:hAnsi="Calibri"/>
          <w:sz w:val="21"/>
          <w:szCs w:val="21"/>
        </w:rPr>
        <w:t xml:space="preserve"> and must be recorded through the ministry’s contract amendment service. A change agreed informally has no effect.</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Where this agreement is executed in both Arabic and English, the </w:t>
      </w:r>
      <w:r>
        <w:rPr>
          <w:rFonts w:ascii="Calibri" w:cs="Calibri" w:eastAsia="Calibri" w:hAnsi="Calibri"/>
          <w:b/>
          <w:bCs/>
          <w:sz w:val="21"/>
          <w:szCs w:val="21"/>
        </w:rPr>
        <w:t xml:space="preserve">Arabic version prevails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DUTIES AND WORKING HOURS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Employee shall perform the duties of </w:t>
      </w:r>
      <w:r>
        <w:rPr>
          <w:rFonts w:ascii="Calibri" w:cs="Calibri" w:eastAsia="Calibri" w:hAnsi="Calibri"/>
          <w:b/>
          <w:bCs/>
          <w:sz w:val="21"/>
          <w:szCs w:val="21"/>
        </w:rPr>
        <w:t xml:space="preserve">[JOB TITLE]</w:t>
      </w:r>
      <w:r>
        <w:rPr>
          <w:rFonts w:ascii="Calibri" w:cs="Calibri" w:eastAsia="Calibri" w:hAnsi="Calibri"/>
          <w:sz w:val="21"/>
          <w:szCs w:val="21"/>
        </w:rPr>
        <w:t xml:space="preserve"> and such other duties consistent with the role as the Employer reasonably assigns, faithfully and diligently.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Normal working hours are </w:t>
      </w:r>
      <w:r>
        <w:rPr>
          <w:rFonts w:ascii="Calibri" w:cs="Calibri" w:eastAsia="Calibri" w:hAnsi="Calibri"/>
          <w:b/>
          <w:bCs/>
          <w:sz w:val="21"/>
          <w:szCs w:val="21"/>
        </w:rPr>
        <w:t xml:space="preserve">8 hours per day and 48 hours per week</w:t>
      </w:r>
      <w:r>
        <w:rPr>
          <w:rFonts w:ascii="Calibri" w:cs="Calibri" w:eastAsia="Calibri" w:hAnsi="Calibri"/>
          <w:sz w:val="21"/>
          <w:szCs w:val="21"/>
        </w:rPr>
        <w:t xml:space="preserve">, </w:t>
      </w:r>
      <w:r>
        <w:rPr>
          <w:rFonts w:ascii="Calibri" w:cs="Calibri" w:eastAsia="Calibri" w:hAnsi="Calibri"/>
          <w:b/>
          <w:bCs/>
          <w:sz w:val="21"/>
          <w:szCs w:val="21"/>
        </w:rPr>
        <w:t xml:space="preserve">[reduced to ______ during Ramadan for fasting employees as required]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Overtime worked at the Employer’s request is compensated in accordance with the Law. Hours beyond the normal working day attract an uplift, with a higher rate for work between 10pm and 4am, subject to the exceptions in the Law.</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Employee is entitled to at least one rest day per week and to the gazetted public holidays.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Midday work ban.</w:t>
      </w:r>
      <w:r>
        <w:rPr>
          <w:rFonts w:ascii="Calibri" w:cs="Calibri" w:eastAsia="Calibri" w:hAnsi="Calibri"/>
          <w:sz w:val="21"/>
          <w:szCs w:val="21"/>
        </w:rPr>
        <w:t xml:space="preserve"> During the period each summer when outdoor work is prohibited during specified afternoon hours, the Employer will comply in full and will not require or permit outdoor work in that window.</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The Employee shall not work for any other employer without the Employer’s written consent and the appropriate permit.</w:t>
      </w:r>
    </w:p>
    <w:p>
      <w:pPr>
        <w:keepNext/>
        <w:spacing w:after="120" w:before="280"/>
        <w:outlineLvl w:val="0"/>
      </w:pPr>
      <w:r>
        <w:rPr>
          <w:rFonts w:ascii="Calibri" w:cs="Calibri" w:eastAsia="Calibri" w:hAnsi="Calibri"/>
          <w:b/>
          <w:bCs/>
          <w:color w:val="14161B"/>
          <w:sz w:val="22"/>
          <w:szCs w:val="22"/>
        </w:rPr>
        <w:t xml:space="preserve">3.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927"/>
        <w:gridCol w:w="4820"/>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 per month</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Basic salary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base for gratuity</w:t>
            </w:r>
            <w:r>
              <w:rPr>
                <w:rFonts w:ascii="Calibri" w:cs="Calibri" w:eastAsia="Calibri" w:hAnsi="Calibri"/>
                <w:sz w:val="18"/>
                <w:szCs w:val="18"/>
              </w:rPr>
              <w:t xml:space="preserve"> — allowances are excluded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Housing allowance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4820"/>
            <w:tcMar>
              <w:top w:type="dxa" w:w="70"/>
              <w:left w:type="dxa" w:w="100"/>
              <w:bottom w:type="dxa" w:w="70"/>
              <w:right w:type="dxa" w:w="100"/>
            </w:tcMar>
            <w:vAlign w:val="center"/>
          </w:tcPr>
          <w:p>
            <w:pPr>
              <w:spacing w:after="0" w:line="240"/>
              <w:jc w:val="left"/>
            </w:pP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Transport allowance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4820"/>
            <w:tcMar>
              <w:top w:type="dxa" w:w="70"/>
              <w:left w:type="dxa" w:w="100"/>
              <w:bottom w:type="dxa" w:w="70"/>
              <w:right w:type="dxa" w:w="100"/>
            </w:tcMar>
            <w:vAlign w:val="center"/>
          </w:tcPr>
          <w:p>
            <w:pPr>
              <w:spacing w:after="0" w:line="240"/>
              <w:jc w:val="left"/>
            </w:pP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allowance — name it]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4820"/>
            <w:tcMar>
              <w:top w:type="dxa" w:w="70"/>
              <w:left w:type="dxa" w:w="100"/>
              <w:bottom w:type="dxa" w:w="70"/>
              <w:right w:type="dxa" w:w="100"/>
            </w:tcMar>
            <w:vAlign w:val="center"/>
          </w:tcPr>
          <w:p>
            <w:pPr>
              <w:spacing w:after="0" w:line="240"/>
              <w:jc w:val="left"/>
            </w:pP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salary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figure registered with MOHRE and paid through WPS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[Variable bonus]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Discretionary unless stated otherwise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[Commission]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State the basis and when it is earned</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Salary is paid monthly in arrears through the </w:t>
      </w:r>
      <w:r>
        <w:rPr>
          <w:rFonts w:ascii="Calibri" w:cs="Calibri" w:eastAsia="Calibri" w:hAnsi="Calibri"/>
          <w:b/>
          <w:bCs/>
          <w:sz w:val="21"/>
          <w:szCs w:val="21"/>
        </w:rPr>
        <w:t xml:space="preserve">Wage Protection System</w:t>
      </w:r>
      <w:r>
        <w:rPr>
          <w:rFonts w:ascii="Calibri" w:cs="Calibri" w:eastAsia="Calibri" w:hAnsi="Calibri"/>
          <w:sz w:val="21"/>
          <w:szCs w:val="21"/>
        </w:rPr>
        <w:t xml:space="preserve">, in UAE dirhams, on or before the date required.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salary registered with MOHRE and paid through WPS must match the salary in this agreement. </w:t>
      </w:r>
      <w:r>
        <w:rPr>
          <w:rFonts w:ascii="Calibri" w:cs="Calibri" w:eastAsia="Calibri" w:hAnsi="Calibri"/>
          <w:i/>
          <w:iCs/>
          <w:sz w:val="21"/>
          <w:szCs w:val="21"/>
        </w:rPr>
        <w:t xml:space="preserve">Paying a different figure from the registered one is a compliance breach and is detectable through WPS records.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Deductions are limited to those the Law permits and shall not exceed the statutory proportion of salary.</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The Employer shall not recover from the Employee</w:t>
      </w:r>
      <w:r>
        <w:rPr>
          <w:rFonts w:ascii="Calibri" w:cs="Calibri" w:eastAsia="Calibri" w:hAnsi="Calibri"/>
          <w:sz w:val="21"/>
          <w:szCs w:val="21"/>
        </w:rPr>
        <w:t xml:space="preserve"> any recruitment fee, work permit cost, visa cost, medical or Emirates ID cost. These are employer costs by law.</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The split between basic salary and allowances is a genuine commercial decision with a real consequence: gratuity is calculated on basic salary only. A structure that is largely allowance reduces gratuity exposure and is lawful, but it should be set deliberately and disclosed honestly at offer stage.</w:t>
      </w:r>
    </w:p>
    <w:p>
      <w:pPr>
        <w:keepNext/>
        <w:spacing w:after="120" w:before="280"/>
        <w:outlineLvl w:val="0"/>
      </w:pPr>
      <w:r>
        <w:rPr>
          <w:rFonts w:ascii="Calibri" w:cs="Calibri" w:eastAsia="Calibri" w:hAnsi="Calibri"/>
          <w:b/>
          <w:bCs/>
          <w:color w:val="14161B"/>
          <w:sz w:val="22"/>
          <w:szCs w:val="22"/>
        </w:rPr>
        <w:t xml:space="preserve">4. LEAVE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7325"/>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732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Entitlement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leave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30 calendar days</w:t>
            </w:r>
            <w:r>
              <w:rPr>
                <w:rFonts w:ascii="Calibri" w:cs="Calibri" w:eastAsia="Calibri" w:hAnsi="Calibri"/>
                <w:sz w:val="18"/>
                <w:szCs w:val="18"/>
              </w:rPr>
              <w:t xml:space="preserve"> per year after one year; 2 days per month between six months and one year. Accrues from the first day of service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Public holidays</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gazetted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Sick leave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w:t>
            </w:r>
            <w:r>
              <w:rPr>
                <w:rFonts w:ascii="Calibri" w:cs="Calibri" w:eastAsia="Calibri" w:hAnsi="Calibri"/>
                <w:b/>
                <w:bCs/>
                <w:sz w:val="18"/>
                <w:szCs w:val="18"/>
              </w:rPr>
              <w:t xml:space="preserve">90 days</w:t>
            </w:r>
            <w:r>
              <w:rPr>
                <w:rFonts w:ascii="Calibri" w:cs="Calibri" w:eastAsia="Calibri" w:hAnsi="Calibri"/>
                <w:sz w:val="18"/>
                <w:szCs w:val="18"/>
              </w:rPr>
              <w:t xml:space="preserve"> per year after probation — the first 15 on full pay, the next 30 on half pay, the remainder unpaid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Maternity leave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60 days</w:t>
            </w:r>
            <w:r>
              <w:rPr>
                <w:rFonts w:ascii="Calibri" w:cs="Calibri" w:eastAsia="Calibri" w:hAnsi="Calibri"/>
                <w:sz w:val="18"/>
                <w:szCs w:val="18"/>
              </w:rPr>
              <w:t xml:space="preserve"> — 45 on full pay and 15 on half pay, with further unpaid entitlement in defined circumstances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Parental leave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5 working days</w:t>
            </w:r>
            <w:r>
              <w:rPr>
                <w:rFonts w:ascii="Calibri" w:cs="Calibri" w:eastAsia="Calibri" w:hAnsi="Calibri"/>
                <w:sz w:val="18"/>
                <w:szCs w:val="18"/>
              </w:rPr>
              <w:t xml:space="preserve"> for either parent within six months of the birth</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Bereavement leave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[3–5]</w:t>
            </w:r>
            <w:r>
              <w:rPr>
                <w:rFonts w:ascii="Calibri" w:cs="Calibri" w:eastAsia="Calibri" w:hAnsi="Calibri"/>
                <w:sz w:val="18"/>
                <w:szCs w:val="18"/>
              </w:rPr>
              <w:t xml:space="preserve"> days depending on the relationship</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Study leave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 days per year for employees enrolled at an accredited UAE institution, subject to service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Hajj leave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Unpaid, once during service, up to 30 days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[Contractual, not statutory]</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Untaken annual leave is paid on termination on the basis the Law requires. Carry-forward and encashment during employment are </w:t>
      </w:r>
      <w:r>
        <w:rPr>
          <w:rFonts w:ascii="Calibri" w:cs="Calibri" w:eastAsia="Calibri" w:hAnsi="Calibri"/>
          <w:b/>
          <w:bCs/>
          <w:sz w:val="21"/>
          <w:szCs w:val="21"/>
        </w:rPr>
        <w:t xml:space="preserve">[permitted as agreed / not permitted]</w:t>
      </w:r>
      <w:r>
        <w:rPr>
          <w:rFonts w:ascii="Calibri" w:cs="Calibri" w:eastAsia="Calibri" w:hAnsi="Calibri"/>
          <w:sz w:val="21"/>
          <w:szCs w:val="21"/>
        </w:rPr>
        <w:t xml:space="preserv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EMPLOYER OBLIGATIONS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Employer shall obtain and maintain the Employee’s </w:t>
      </w:r>
      <w:r>
        <w:rPr>
          <w:rFonts w:ascii="Calibri" w:cs="Calibri" w:eastAsia="Calibri" w:hAnsi="Calibri"/>
          <w:b/>
          <w:bCs/>
          <w:sz w:val="21"/>
          <w:szCs w:val="21"/>
        </w:rPr>
        <w:t xml:space="preserve">work permit and residence visa</w:t>
      </w:r>
      <w:r>
        <w:rPr>
          <w:rFonts w:ascii="Calibri" w:cs="Calibri" w:eastAsia="Calibri" w:hAnsi="Calibri"/>
          <w:sz w:val="21"/>
          <w:szCs w:val="21"/>
        </w:rPr>
        <w:t xml:space="preserve"> at its own cost, and shall renew them before expiry.</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Employer shall provide </w:t>
      </w:r>
      <w:r>
        <w:rPr>
          <w:rFonts w:ascii="Calibri" w:cs="Calibri" w:eastAsia="Calibri" w:hAnsi="Calibri"/>
          <w:b/>
          <w:bCs/>
          <w:sz w:val="21"/>
          <w:szCs w:val="21"/>
        </w:rPr>
        <w:t xml:space="preserve">health insurance</w:t>
      </w:r>
      <w:r>
        <w:rPr>
          <w:rFonts w:ascii="Calibri" w:cs="Calibri" w:eastAsia="Calibri" w:hAnsi="Calibri"/>
          <w:sz w:val="21"/>
          <w:szCs w:val="21"/>
        </w:rPr>
        <w:t xml:space="preserve"> meeting the requirements of the relevant emirate.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Employer shall provide a safe workplace, appropriate training and protective equipment, and shall report work injuries as required.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Employer shall not retain the Employee’s </w:t>
      </w:r>
      <w:r>
        <w:rPr>
          <w:rFonts w:ascii="Calibri" w:cs="Calibri" w:eastAsia="Calibri" w:hAnsi="Calibri"/>
          <w:b/>
          <w:bCs/>
          <w:sz w:val="21"/>
          <w:szCs w:val="21"/>
        </w:rPr>
        <w:t xml:space="preserve">passport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Employer shall pay wages through WPS and maintain employment records as required.</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b/>
          <w:bCs/>
          <w:sz w:val="21"/>
          <w:szCs w:val="21"/>
        </w:rPr>
        <w:t xml:space="preserve">[Where applicable]</w:t>
      </w:r>
      <w:r>
        <w:rPr>
          <w:rFonts w:ascii="Calibri" w:cs="Calibri" w:eastAsia="Calibri" w:hAnsi="Calibri"/>
          <w:sz w:val="21"/>
          <w:szCs w:val="21"/>
        </w:rPr>
        <w:t xml:space="preserve"> The Employer shall bear the cost of </w:t>
      </w:r>
      <w:r>
        <w:rPr>
          <w:rFonts w:ascii="Calibri" w:cs="Calibri" w:eastAsia="Calibri" w:hAnsi="Calibri"/>
          <w:b/>
          <w:bCs/>
          <w:sz w:val="21"/>
          <w:szCs w:val="21"/>
        </w:rPr>
        <w:t xml:space="preserve">repatriation</w:t>
      </w:r>
      <w:r>
        <w:rPr>
          <w:rFonts w:ascii="Calibri" w:cs="Calibri" w:eastAsia="Calibri" w:hAnsi="Calibri"/>
          <w:sz w:val="21"/>
          <w:szCs w:val="21"/>
        </w:rPr>
        <w:t xml:space="preserve"> to the Employee’s point of recruitment on termination, save where the Employee is dismissed for a reason permitting summary termination or has secured other employment in the UAE.</w:t>
      </w:r>
    </w:p>
    <w:p>
      <w:pPr>
        <w:keepNext/>
        <w:spacing w:after="120" w:before="280"/>
        <w:outlineLvl w:val="0"/>
      </w:pPr>
      <w:r>
        <w:rPr>
          <w:rFonts w:ascii="Calibri" w:cs="Calibri" w:eastAsia="Calibri" w:hAnsi="Calibri"/>
          <w:b/>
          <w:bCs/>
          <w:color w:val="14161B"/>
          <w:sz w:val="22"/>
          <w:szCs w:val="22"/>
        </w:rPr>
        <w:t xml:space="preserve">6. CONFIDENTIALITY, INTELLECTUAL PROPERTY AND RESTRICTIONS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Employee shall keep confidential all information of the Employer and its clients, during and after employment.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Intellectual property created in the course of employment vests in the Employer, and the Employee shall execute any document required to perfect that position.</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Non-competition.</w:t>
      </w:r>
      <w:r>
        <w:rPr>
          <w:rFonts w:ascii="Calibri" w:cs="Calibri" w:eastAsia="Calibri" w:hAnsi="Calibri"/>
          <w:sz w:val="21"/>
          <w:szCs w:val="21"/>
        </w:rPr>
        <w:t xml:space="preserve"> </w:t>
      </w:r>
      <w:r>
        <w:rPr>
          <w:rFonts w:ascii="Calibri" w:cs="Calibri" w:eastAsia="Calibri" w:hAnsi="Calibri"/>
          <w:b/>
          <w:bCs/>
          <w:sz w:val="21"/>
          <w:szCs w:val="21"/>
        </w:rPr>
        <w:t xml:space="preserve">[Where included]</w:t>
      </w:r>
      <w:r>
        <w:rPr>
          <w:rFonts w:ascii="Calibri" w:cs="Calibri" w:eastAsia="Calibri" w:hAnsi="Calibri"/>
          <w:sz w:val="21"/>
          <w:szCs w:val="21"/>
        </w:rPr>
        <w:t xml:space="preserve"> For </w:t>
      </w:r>
      <w:r>
        <w:rPr>
          <w:rFonts w:ascii="Calibri" w:cs="Calibri" w:eastAsia="Calibri" w:hAnsi="Calibri"/>
          <w:b/>
          <w:bCs/>
          <w:sz w:val="21"/>
          <w:szCs w:val="21"/>
        </w:rPr>
        <w:t xml:space="preserve">[NUMBER]</w:t>
      </w:r>
      <w:r>
        <w:rPr>
          <w:rFonts w:ascii="Calibri" w:cs="Calibri" w:eastAsia="Calibri" w:hAnsi="Calibri"/>
          <w:sz w:val="21"/>
          <w:szCs w:val="21"/>
        </w:rPr>
        <w:t xml:space="preserve"> months after termination, not exceeding </w:t>
      </w:r>
      <w:r>
        <w:rPr>
          <w:rFonts w:ascii="Calibri" w:cs="Calibri" w:eastAsia="Calibri" w:hAnsi="Calibri"/>
          <w:b/>
          <w:bCs/>
          <w:sz w:val="21"/>
          <w:szCs w:val="21"/>
        </w:rPr>
        <w:t xml:space="preserve">two years</w:t>
      </w:r>
      <w:r>
        <w:rPr>
          <w:rFonts w:ascii="Calibri" w:cs="Calibri" w:eastAsia="Calibri" w:hAnsi="Calibri"/>
          <w:sz w:val="21"/>
          <w:szCs w:val="21"/>
        </w:rPr>
        <w:t xml:space="preserve">, the Employee shall not, within </w:t>
      </w:r>
      <w:r>
        <w:rPr>
          <w:rFonts w:ascii="Calibri" w:cs="Calibri" w:eastAsia="Calibri" w:hAnsi="Calibri"/>
          <w:b/>
          <w:bCs/>
          <w:sz w:val="21"/>
          <w:szCs w:val="21"/>
        </w:rPr>
        <w:t xml:space="preserve">[DEFINED AREA]</w:t>
      </w:r>
      <w:r>
        <w:rPr>
          <w:rFonts w:ascii="Calibri" w:cs="Calibri" w:eastAsia="Calibri" w:hAnsi="Calibri"/>
          <w:sz w:val="21"/>
          <w:szCs w:val="21"/>
        </w:rPr>
        <w:t xml:space="preserve">, engage in </w:t>
      </w:r>
      <w:r>
        <w:rPr>
          <w:rFonts w:ascii="Calibri" w:cs="Calibri" w:eastAsia="Calibri" w:hAnsi="Calibri"/>
          <w:b/>
          <w:bCs/>
          <w:sz w:val="21"/>
          <w:szCs w:val="21"/>
        </w:rPr>
        <w:t xml:space="preserve">[THE SPECIFIC COMPETING ACTIVITY]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 restriction under Clause 6.3 applies only where the Employee had access to the Employer’s clients or trade secrets, and must be limited in time, place and subject matter to what is necessary to protect a legitimate business interest.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A non-competition restriction may cease to apply in defined circumstances, including where the employment ends for a reason attributable to the employer, or where a settlement is reached, or where the new employer provides a substitute arrangement. Take advice before seeking to enforce one — the practical route is a labour ban request rather than a court injunction, and the grounds are narrower than employers assume.</w:t>
      </w:r>
    </w:p>
    <w:p>
      <w:pPr>
        <w:keepNext/>
        <w:spacing w:after="120" w:before="280"/>
        <w:outlineLvl w:val="0"/>
      </w:pPr>
      <w:r>
        <w:rPr>
          <w:rFonts w:ascii="Calibri" w:cs="Calibri" w:eastAsia="Calibri" w:hAnsi="Calibri"/>
          <w:b/>
          <w:bCs/>
          <w:color w:val="14161B"/>
          <w:sz w:val="22"/>
          <w:szCs w:val="22"/>
        </w:rPr>
        <w:t xml:space="preserve">7. TERMINATION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Either party may terminate by giving written notice of </w:t>
      </w:r>
      <w:r>
        <w:rPr>
          <w:rFonts w:ascii="Calibri" w:cs="Calibri" w:eastAsia="Calibri" w:hAnsi="Calibri"/>
          <w:b/>
          <w:bCs/>
          <w:sz w:val="21"/>
          <w:szCs w:val="21"/>
        </w:rPr>
        <w:t xml:space="preserve">[30–90]</w:t>
      </w:r>
      <w:r>
        <w:rPr>
          <w:rFonts w:ascii="Calibri" w:cs="Calibri" w:eastAsia="Calibri" w:hAnsi="Calibri"/>
          <w:b/>
          <w:bCs/>
          <w:sz w:val="21"/>
          <w:szCs w:val="21"/>
        </w:rPr>
        <w:t xml:space="preserve"> days</w:t>
      </w:r>
      <w:r>
        <w:rPr>
          <w:rFonts w:ascii="Calibri" w:cs="Calibri" w:eastAsia="Calibri" w:hAnsi="Calibri"/>
          <w:sz w:val="21"/>
          <w:szCs w:val="21"/>
        </w:rPr>
        <w:t xml:space="preserve">, or by paying salary in lieu for the unexpired notice.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During probation, the Employer may terminate on </w:t>
      </w:r>
      <w:r>
        <w:rPr>
          <w:rFonts w:ascii="Calibri" w:cs="Calibri" w:eastAsia="Calibri" w:hAnsi="Calibri"/>
          <w:b/>
          <w:bCs/>
          <w:sz w:val="21"/>
          <w:szCs w:val="21"/>
        </w:rPr>
        <w:t xml:space="preserve">14 days</w:t>
      </w:r>
      <w:r>
        <w:rPr>
          <w:rFonts w:ascii="Calibri" w:cs="Calibri" w:eastAsia="Calibri" w:hAnsi="Calibri"/>
          <w:sz w:val="21"/>
          <w:szCs w:val="21"/>
        </w:rPr>
        <w:t xml:space="preserve"> written notice. An Employee resigning during probation to move to another UAE employer must give </w:t>
      </w:r>
      <w:r>
        <w:rPr>
          <w:rFonts w:ascii="Calibri" w:cs="Calibri" w:eastAsia="Calibri" w:hAnsi="Calibri"/>
          <w:b/>
          <w:bCs/>
          <w:sz w:val="21"/>
          <w:szCs w:val="21"/>
        </w:rPr>
        <w:t xml:space="preserve">one month</w:t>
      </w:r>
      <w:r>
        <w:rPr>
          <w:rFonts w:ascii="Calibri" w:cs="Calibri" w:eastAsia="Calibri" w:hAnsi="Calibri"/>
          <w:sz w:val="21"/>
          <w:szCs w:val="21"/>
        </w:rPr>
        <w:t xml:space="preserve">, and to leave the UAE </w:t>
      </w:r>
      <w:r>
        <w:rPr>
          <w:rFonts w:ascii="Calibri" w:cs="Calibri" w:eastAsia="Calibri" w:hAnsi="Calibri"/>
          <w:b/>
          <w:bCs/>
          <w:sz w:val="21"/>
          <w:szCs w:val="21"/>
        </w:rPr>
        <w:t xml:space="preserve">14 days</w:t>
      </w:r>
      <w:r>
        <w:rPr>
          <w:rFonts w:ascii="Calibri" w:cs="Calibri" w:eastAsia="Calibri" w:hAnsi="Calibri"/>
          <w:sz w:val="21"/>
          <w:szCs w:val="21"/>
        </w:rPr>
        <w:t xml:space="preserve">, subject to the Law.</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Employer may terminate without notice only on a ground listed in the Law, following the procedure it requires, including an investigation and the opportunity for the Employee to respond.</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Termination for an unlawful reason — including because the Employee filed a legitimate complaint or claim — may amount to </w:t>
      </w:r>
      <w:r>
        <w:rPr>
          <w:rFonts w:ascii="Calibri" w:cs="Calibri" w:eastAsia="Calibri" w:hAnsi="Calibri"/>
          <w:b/>
          <w:bCs/>
          <w:sz w:val="21"/>
          <w:szCs w:val="21"/>
        </w:rPr>
        <w:t xml:space="preserve">arbitrary dismissal</w:t>
      </w:r>
      <w:r>
        <w:rPr>
          <w:rFonts w:ascii="Calibri" w:cs="Calibri" w:eastAsia="Calibri" w:hAnsi="Calibri"/>
          <w:sz w:val="21"/>
          <w:szCs w:val="21"/>
        </w:rPr>
        <w:t xml:space="preserve">, for which compensation of up to three months’ salary may be awarded.</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On termination the Employer shall pay </w:t>
      </w:r>
      <w:r>
        <w:rPr>
          <w:rFonts w:ascii="Calibri" w:cs="Calibri" w:eastAsia="Calibri" w:hAnsi="Calibri"/>
          <w:b/>
          <w:bCs/>
          <w:sz w:val="21"/>
          <w:szCs w:val="21"/>
        </w:rPr>
        <w:t xml:space="preserve">all sums due within 14 days</w:t>
      </w:r>
      <w:r>
        <w:rPr>
          <w:rFonts w:ascii="Calibri" w:cs="Calibri" w:eastAsia="Calibri" w:hAnsi="Calibri"/>
          <w:sz w:val="21"/>
          <w:szCs w:val="21"/>
        </w:rPr>
        <w:t xml:space="preserve"> of the last working day, including salary to the last day, payment for untaken annual leave, any payment in lieu of notice, and </w:t>
      </w:r>
      <w:r>
        <w:rPr>
          <w:rFonts w:ascii="Calibri" w:cs="Calibri" w:eastAsia="Calibri" w:hAnsi="Calibri"/>
          <w:b/>
          <w:bCs/>
          <w:sz w:val="21"/>
          <w:szCs w:val="21"/>
        </w:rPr>
        <w:t xml:space="preserve">end-of-service gratuity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sz w:val="21"/>
          <w:szCs w:val="21"/>
        </w:rPr>
        <w:t xml:space="preserve">The Employer shall cancel the work permit and residence visa, and shall not do so before settling entitlements.</w:t>
      </w:r>
    </w:p>
    <w:p>
      <w:pPr>
        <w:keepNext/>
        <w:spacing w:after="120" w:before="280"/>
        <w:outlineLvl w:val="0"/>
      </w:pPr>
      <w:r>
        <w:rPr>
          <w:rFonts w:ascii="Calibri" w:cs="Calibri" w:eastAsia="Calibri" w:hAnsi="Calibri"/>
          <w:b/>
          <w:bCs/>
          <w:color w:val="14161B"/>
          <w:sz w:val="22"/>
          <w:szCs w:val="22"/>
        </w:rPr>
        <w:t xml:space="preserve">8. END OF SERVICE GRATUITY</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An Employee completing one year of continuous service is entitled to gratuity calculated on </w:t>
      </w:r>
      <w:r>
        <w:rPr>
          <w:rFonts w:ascii="Calibri" w:cs="Calibri" w:eastAsia="Calibri" w:hAnsi="Calibri"/>
          <w:b/>
          <w:bCs/>
          <w:sz w:val="21"/>
          <w:szCs w:val="21"/>
        </w:rPr>
        <w:t xml:space="preserve">basic salary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21 days’ basic salary</w:t>
      </w:r>
      <w:r>
        <w:rPr>
          <w:rFonts w:ascii="Calibri" w:cs="Calibri" w:eastAsia="Calibri" w:hAnsi="Calibri"/>
          <w:sz w:val="21"/>
          <w:szCs w:val="21"/>
        </w:rPr>
        <w:t xml:space="preserve"> for each of the first five years of service; and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30 days’ basic salary</w:t>
      </w:r>
      <w:r>
        <w:rPr>
          <w:rFonts w:ascii="Calibri" w:cs="Calibri" w:eastAsia="Calibri" w:hAnsi="Calibri"/>
          <w:sz w:val="21"/>
          <w:szCs w:val="21"/>
        </w:rPr>
        <w:t xml:space="preserve"> for each year thereafter.</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Total gratuity shall not exceed </w:t>
      </w:r>
      <w:r>
        <w:rPr>
          <w:rFonts w:ascii="Calibri" w:cs="Calibri" w:eastAsia="Calibri" w:hAnsi="Calibri"/>
          <w:b/>
          <w:bCs/>
          <w:sz w:val="21"/>
          <w:szCs w:val="21"/>
        </w:rPr>
        <w:t xml:space="preserve">two years’ total salary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Gratuity is calculated on basic salary and </w:t>
      </w:r>
      <w:r>
        <w:rPr>
          <w:rFonts w:ascii="Calibri" w:cs="Calibri" w:eastAsia="Calibri" w:hAnsi="Calibri"/>
          <w:b/>
          <w:bCs/>
          <w:sz w:val="21"/>
          <w:szCs w:val="21"/>
        </w:rPr>
        <w:t xml:space="preserve">excludes allowances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Periods of unpaid leave are excluded from the service calculation.</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Disputes shall first be referred to </w:t>
      </w:r>
      <w:r>
        <w:rPr>
          <w:rFonts w:ascii="Calibri" w:cs="Calibri" w:eastAsia="Calibri" w:hAnsi="Calibri"/>
          <w:b/>
          <w:bCs/>
          <w:sz w:val="21"/>
          <w:szCs w:val="21"/>
        </w:rPr>
        <w:t xml:space="preserve">MOHRE</w:t>
      </w:r>
      <w:r>
        <w:rPr>
          <w:rFonts w:ascii="Calibri" w:cs="Calibri" w:eastAsia="Calibri" w:hAnsi="Calibri"/>
          <w:sz w:val="21"/>
          <w:szCs w:val="21"/>
        </w:rPr>
        <w:t xml:space="preserve"> in accordance with the Law, and thereafter to the competent court.</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This agreement is governed by the laws of the United Arab Emirates and the applicable law of the emirate of </w:t>
      </w:r>
      <w:r>
        <w:rPr>
          <w:rFonts w:ascii="Calibri" w:cs="Calibri" w:eastAsia="Calibri" w:hAnsi="Calibri"/>
          <w:b/>
          <w:bCs/>
          <w:sz w:val="21"/>
          <w:szCs w:val="21"/>
        </w:rPr>
        <w:t xml:space="preserve">[EMIRATE]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Employee’s personal data will be processed in accordance with the Employer’s data protection policy and applicable law.</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Passport: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MOHRE contract is the operative one</w:t>
      </w:r>
    </w:p>
    <w:p>
      <w:pPr>
        <w:spacing w:after="60" w:line="264"/>
        <w:jc w:val="both"/>
      </w:pPr>
      <w:r>
        <w:rPr>
          <w:rFonts w:ascii="Calibri" w:cs="Calibri" w:eastAsia="Calibri" w:hAnsi="Calibri"/>
          <w:sz w:val="19"/>
          <w:szCs w:val="19"/>
        </w:rPr>
        <w:t xml:space="preserve">The mainland employment relationship is governed by the standard contract generated through MOHRE and registered within 14 days of work permit approval. This supplementary agreement adds commercial terms the standard form does not carry — confidentiality, intellectual property, restrictions — but it cannot contradict the registered contract or reduce a statutory entitlement. A supplementary agreement that conflicts is simply unenforceable to that extent.</w:t>
      </w:r>
    </w:p>
    <w:p>
      <w:pPr>
        <w:keepNext/>
        <w:spacing w:after="40" w:before="140"/>
      </w:pPr>
      <w:r>
        <w:rPr>
          <w:rFonts w:ascii="Calibri" w:cs="Calibri" w:eastAsia="Calibri" w:hAnsi="Calibri"/>
          <w:b/>
          <w:bCs/>
          <w:color w:val="14161B"/>
          <w:sz w:val="20"/>
          <w:szCs w:val="20"/>
        </w:rPr>
        <w:t xml:space="preserve">All contracts are fixed-term</w:t>
      </w:r>
    </w:p>
    <w:p>
      <w:pPr>
        <w:spacing w:after="60" w:line="264"/>
        <w:jc w:val="both"/>
      </w:pPr>
      <w:r>
        <w:rPr>
          <w:rFonts w:ascii="Calibri" w:cs="Calibri" w:eastAsia="Calibri" w:hAnsi="Calibri"/>
          <w:sz w:val="19"/>
          <w:szCs w:val="19"/>
        </w:rPr>
        <w:t xml:space="preserve">Federal Decree-Law 33/2021 abolished unlimited contracts. Every mainland contract is for a fixed term, typically two or three years, renewable. Documents referring to unlimited or indefinite contracts are pre-2022 and out of date.</w:t>
      </w:r>
    </w:p>
    <w:p>
      <w:pPr>
        <w:keepNext/>
        <w:spacing w:after="40" w:before="140"/>
      </w:pPr>
      <w:r>
        <w:rPr>
          <w:rFonts w:ascii="Calibri" w:cs="Calibri" w:eastAsia="Calibri" w:hAnsi="Calibri"/>
          <w:b/>
          <w:bCs/>
          <w:color w:val="14161B"/>
          <w:sz w:val="20"/>
          <w:szCs w:val="20"/>
        </w:rPr>
        <w:t xml:space="preserve">Changes need written consent and a ministry amendment</w:t>
      </w:r>
    </w:p>
    <w:p>
      <w:pPr>
        <w:spacing w:after="60" w:line="264"/>
        <w:jc w:val="both"/>
      </w:pPr>
      <w:r>
        <w:rPr>
          <w:rFonts w:ascii="Calibri" w:cs="Calibri" w:eastAsia="Calibri" w:hAnsi="Calibri"/>
          <w:sz w:val="19"/>
          <w:szCs w:val="19"/>
        </w:rPr>
        <w:t xml:space="preserve">Salary, job title and the nature of the work cannot be changed unilaterally. The employee must consent in writing and the change must be recorded through the ministry’s amendment service. An informal agreement to reduce salary, however amicable, does not bind and is visible in the WPS record.</w:t>
      </w:r>
    </w:p>
    <w:p>
      <w:pPr>
        <w:keepNext/>
        <w:spacing w:after="40" w:before="140"/>
      </w:pPr>
      <w:r>
        <w:rPr>
          <w:rFonts w:ascii="Calibri" w:cs="Calibri" w:eastAsia="Calibri" w:hAnsi="Calibri"/>
          <w:b/>
          <w:bCs/>
          <w:color w:val="14161B"/>
          <w:sz w:val="20"/>
          <w:szCs w:val="20"/>
        </w:rPr>
        <w:t xml:space="preserve">Basic salary is the gratuity base — structure it deliberately</w:t>
      </w:r>
    </w:p>
    <w:p>
      <w:pPr>
        <w:spacing w:after="60" w:line="264"/>
        <w:jc w:val="both"/>
      </w:pPr>
      <w:r>
        <w:rPr>
          <w:rFonts w:ascii="Calibri" w:cs="Calibri" w:eastAsia="Calibri" w:hAnsi="Calibri"/>
          <w:sz w:val="19"/>
          <w:szCs w:val="19"/>
        </w:rPr>
        <w:t xml:space="preserve">Gratuity is 21 days per year for five years and 30 days thereafter, calculated on </w:t>
      </w:r>
      <w:r>
        <w:rPr>
          <w:rFonts w:ascii="Calibri" w:cs="Calibri" w:eastAsia="Calibri" w:hAnsi="Calibri"/>
          <w:b/>
          <w:bCs/>
          <w:sz w:val="19"/>
          <w:szCs w:val="19"/>
        </w:rPr>
        <w:t xml:space="preserve">basic salary only</w:t>
      </w:r>
      <w:r>
        <w:rPr>
          <w:rFonts w:ascii="Calibri" w:cs="Calibri" w:eastAsia="Calibri" w:hAnsi="Calibri"/>
          <w:sz w:val="19"/>
          <w:szCs w:val="19"/>
        </w:rPr>
        <w:t xml:space="preserve">. A package weighted towards allowances reduces gratuity exposure and is lawful. It should be a conscious decision, disclosed at offer stage, rather than something the employee discovers at the end of service.</w:t>
      </w:r>
    </w:p>
    <w:p>
      <w:pPr>
        <w:keepNext/>
        <w:spacing w:after="40" w:before="140"/>
      </w:pPr>
      <w:r>
        <w:rPr>
          <w:rFonts w:ascii="Calibri" w:cs="Calibri" w:eastAsia="Calibri" w:hAnsi="Calibri"/>
          <w:b/>
          <w:bCs/>
          <w:color w:val="14161B"/>
          <w:sz w:val="20"/>
          <w:szCs w:val="20"/>
        </w:rPr>
        <w:t xml:space="preserve">WPS salary must match the registered salary</w:t>
      </w:r>
    </w:p>
    <w:p>
      <w:pPr>
        <w:spacing w:after="60" w:line="264"/>
        <w:jc w:val="both"/>
      </w:pPr>
      <w:r>
        <w:rPr>
          <w:rFonts w:ascii="Calibri" w:cs="Calibri" w:eastAsia="Calibri" w:hAnsi="Calibri"/>
          <w:sz w:val="19"/>
          <w:szCs w:val="19"/>
        </w:rPr>
        <w:t xml:space="preserve">The figure registered with MOHRE, the figure in the contract and the figure paid through WPS must agree. Paying less than the registered salary is a breach that WPS data makes visible without any complaint being filed, and enforcement has hardened.</w:t>
      </w:r>
    </w:p>
    <w:p>
      <w:pPr>
        <w:keepNext/>
        <w:spacing w:after="40" w:before="140"/>
      </w:pPr>
      <w:r>
        <w:rPr>
          <w:rFonts w:ascii="Calibri" w:cs="Calibri" w:eastAsia="Calibri" w:hAnsi="Calibri"/>
          <w:b/>
          <w:bCs/>
          <w:color w:val="14161B"/>
          <w:sz w:val="20"/>
          <w:szCs w:val="20"/>
        </w:rPr>
        <w:t xml:space="preserve">Employer costs cannot be recovered from the employee</w:t>
      </w:r>
    </w:p>
    <w:p>
      <w:pPr>
        <w:spacing w:after="60" w:line="264"/>
        <w:jc w:val="both"/>
      </w:pPr>
      <w:r>
        <w:rPr>
          <w:rFonts w:ascii="Calibri" w:cs="Calibri" w:eastAsia="Calibri" w:hAnsi="Calibri"/>
          <w:sz w:val="19"/>
          <w:szCs w:val="19"/>
        </w:rPr>
        <w:t xml:space="preserve">Recruitment fees, work permit costs, visa costs, medical testing and Emirates ID are employer costs by law. Deducting them from salary, or requiring repayment on early departure, is prohibited — and is among the more commonly enforced provisions.</w:t>
      </w:r>
    </w:p>
    <w:p>
      <w:pPr>
        <w:keepNext/>
        <w:spacing w:after="40" w:before="140"/>
      </w:pPr>
      <w:r>
        <w:rPr>
          <w:rFonts w:ascii="Calibri" w:cs="Calibri" w:eastAsia="Calibri" w:hAnsi="Calibri"/>
          <w:b/>
          <w:bCs/>
          <w:color w:val="14161B"/>
          <w:sz w:val="20"/>
          <w:szCs w:val="20"/>
        </w:rPr>
        <w:t xml:space="preserve">Do not retain passports</w:t>
      </w:r>
    </w:p>
    <w:p>
      <w:pPr>
        <w:spacing w:after="60" w:line="264"/>
        <w:jc w:val="both"/>
      </w:pPr>
      <w:r>
        <w:rPr>
          <w:rFonts w:ascii="Calibri" w:cs="Calibri" w:eastAsia="Calibri" w:hAnsi="Calibri"/>
          <w:sz w:val="19"/>
          <w:szCs w:val="19"/>
        </w:rPr>
        <w:t xml:space="preserve">Holding an employee’s passport is prohibited. Employers sometimes do it believing it protects against absconding. It does not, and it is a clear contravention.</w:t>
      </w:r>
    </w:p>
    <w:p>
      <w:pPr>
        <w:keepNext/>
        <w:spacing w:after="40" w:before="140"/>
      </w:pPr>
      <w:r>
        <w:rPr>
          <w:rFonts w:ascii="Calibri" w:cs="Calibri" w:eastAsia="Calibri" w:hAnsi="Calibri"/>
          <w:b/>
          <w:bCs/>
          <w:color w:val="14161B"/>
          <w:sz w:val="20"/>
          <w:szCs w:val="20"/>
        </w:rPr>
        <w:t xml:space="preserve">Fourteen days to pay everything</w:t>
      </w:r>
    </w:p>
    <w:p>
      <w:pPr>
        <w:spacing w:after="60" w:line="264"/>
        <w:jc w:val="both"/>
      </w:pPr>
      <w:r>
        <w:rPr>
          <w:rFonts w:ascii="Calibri" w:cs="Calibri" w:eastAsia="Calibri" w:hAnsi="Calibri"/>
          <w:sz w:val="19"/>
          <w:szCs w:val="19"/>
        </w:rPr>
        <w:t xml:space="preserve">All end-of-service entitlements are payable within 14 days of the last working day. That is a short window for calculating gratuity, leave encashment and final salary. Start the computation when notice is given, not on the last day.</w:t>
      </w:r>
    </w:p>
    <w:p>
      <w:pPr>
        <w:keepNext/>
        <w:spacing w:after="40" w:before="140"/>
      </w:pPr>
      <w:r>
        <w:rPr>
          <w:rFonts w:ascii="Calibri" w:cs="Calibri" w:eastAsia="Calibri" w:hAnsi="Calibri"/>
          <w:b/>
          <w:bCs/>
          <w:color w:val="14161B"/>
          <w:sz w:val="20"/>
          <w:szCs w:val="20"/>
        </w:rPr>
        <w:t xml:space="preserve">Arbitrary dismissal carries compensation</w:t>
      </w:r>
    </w:p>
    <w:p>
      <w:pPr>
        <w:spacing w:after="60" w:line="264"/>
        <w:jc w:val="both"/>
      </w:pPr>
      <w:r>
        <w:rPr>
          <w:rFonts w:ascii="Calibri" w:cs="Calibri" w:eastAsia="Calibri" w:hAnsi="Calibri"/>
          <w:sz w:val="19"/>
          <w:szCs w:val="19"/>
        </w:rPr>
        <w:t xml:space="preserve">Dismissal for an unlawful reason, including retaliation for a legitimate complaint, can attract compensation of up to three months’ salary in addition to other entitlements. Document the genuine reason for any termination and keep the supporting record.</w:t>
      </w:r>
    </w:p>
    <w:p>
      <w:pPr>
        <w:keepNext/>
        <w:spacing w:after="40" w:before="140"/>
      </w:pPr>
      <w:r>
        <w:rPr>
          <w:rFonts w:ascii="Calibri" w:cs="Calibri" w:eastAsia="Calibri" w:hAnsi="Calibri"/>
          <w:b/>
          <w:bCs/>
          <w:color w:val="14161B"/>
          <w:sz w:val="20"/>
          <w:szCs w:val="20"/>
        </w:rPr>
        <w:t xml:space="preserve">Summary dismissal requires the statutory grounds and process</w:t>
      </w:r>
    </w:p>
    <w:p>
      <w:pPr>
        <w:spacing w:after="60" w:line="264"/>
        <w:jc w:val="both"/>
      </w:pPr>
      <w:r>
        <w:rPr>
          <w:rFonts w:ascii="Calibri" w:cs="Calibri" w:eastAsia="Calibri" w:hAnsi="Calibri"/>
          <w:sz w:val="19"/>
          <w:szCs w:val="19"/>
        </w:rPr>
        <w:t xml:space="preserve">Termination without notice is available only on the grounds the Law lists, and requires an investigation with the employee given an opportunity to respond. Employers frequently treat serious misconduct as self-evidently justifying immediate dismissal without following the procedure, which converts a defensible decision into a claim.</w:t>
      </w:r>
    </w:p>
    <w:p>
      <w:pPr>
        <w:keepNext/>
        <w:spacing w:after="40" w:before="140"/>
      </w:pPr>
      <w:r>
        <w:rPr>
          <w:rFonts w:ascii="Calibri" w:cs="Calibri" w:eastAsia="Calibri" w:hAnsi="Calibri"/>
          <w:b/>
          <w:bCs/>
          <w:color w:val="14161B"/>
          <w:sz w:val="20"/>
          <w:szCs w:val="20"/>
        </w:rPr>
        <w:t xml:space="preserve">Non-competition is narrower than employers expect</w:t>
      </w:r>
    </w:p>
    <w:p>
      <w:pPr>
        <w:spacing w:after="60" w:line="264"/>
        <w:jc w:val="both"/>
      </w:pPr>
      <w:r>
        <w:rPr>
          <w:rFonts w:ascii="Calibri" w:cs="Calibri" w:eastAsia="Calibri" w:hAnsi="Calibri"/>
          <w:sz w:val="19"/>
          <w:szCs w:val="19"/>
        </w:rPr>
        <w:t xml:space="preserve">A restriction must be limited in time — not exceeding two years — place and subject matter, and applies only where the employee had access to clients or trade secrets. It may fall away in defined circumstances, including where the employer is responsible for the termination. The practical enforcement route runs through MOHRE rather than the courts. Draft narrowly and take advice before relying on one.</w:t>
      </w:r>
    </w:p>
    <w:p>
      <w:pPr>
        <w:keepNext/>
        <w:spacing w:after="40" w:before="140"/>
      </w:pPr>
      <w:r>
        <w:rPr>
          <w:rFonts w:ascii="Calibri" w:cs="Calibri" w:eastAsia="Calibri" w:hAnsi="Calibri"/>
          <w:b/>
          <w:bCs/>
          <w:color w:val="14161B"/>
          <w:sz w:val="20"/>
          <w:szCs w:val="20"/>
        </w:rPr>
        <w:t xml:space="preserve">Arabic prevails</w:t>
      </w:r>
    </w:p>
    <w:p>
      <w:pPr>
        <w:spacing w:after="60" w:line="264"/>
        <w:jc w:val="both"/>
      </w:pPr>
      <w:r>
        <w:rPr>
          <w:rFonts w:ascii="Calibri" w:cs="Calibri" w:eastAsia="Calibri" w:hAnsi="Calibri"/>
          <w:sz w:val="19"/>
          <w:szCs w:val="19"/>
        </w:rPr>
        <w:t xml:space="preserve">Where a contract exists in Arabic and English, the Arabic text governs in a dispute and before the authorities. An English-only supplementary agreement is workable in practice but carries risk; a bilingual version with a professional legal translation is the safer course for anything material.</w:t>
      </w:r>
    </w:p>
    <w:p>
      <w:pPr>
        <w:keepNext/>
        <w:spacing w:after="40" w:before="140"/>
      </w:pPr>
      <w:r>
        <w:rPr>
          <w:rFonts w:ascii="Calibri" w:cs="Calibri" w:eastAsia="Calibri" w:hAnsi="Calibri"/>
          <w:b/>
          <w:bCs/>
          <w:color w:val="14161B"/>
          <w:sz w:val="20"/>
          <w:szCs w:val="20"/>
        </w:rPr>
        <w:t xml:space="preserve">The midday work ban is enforced</w:t>
      </w:r>
    </w:p>
    <w:p>
      <w:pPr>
        <w:spacing w:after="60" w:line="264"/>
        <w:jc w:val="both"/>
      </w:pPr>
      <w:r>
        <w:rPr>
          <w:rFonts w:ascii="Calibri" w:cs="Calibri" w:eastAsia="Calibri" w:hAnsi="Calibri"/>
          <w:sz w:val="19"/>
          <w:szCs w:val="19"/>
        </w:rPr>
        <w:t xml:space="preserve">Outdoor work is prohibited during specified afternoon hours across the summer months, with inspections and penalties. It applies regardless of whether the employee is willing to work, and applies to the employer as a duty.</w:t>
      </w:r>
    </w:p>
    <w:p>
      <w:pPr>
        <w:keepNext/>
        <w:spacing w:after="40" w:before="140"/>
      </w:pPr>
      <w:r>
        <w:rPr>
          <w:rFonts w:ascii="Calibri" w:cs="Calibri" w:eastAsia="Calibri" w:hAnsi="Calibri"/>
          <w:b/>
          <w:bCs/>
          <w:color w:val="14161B"/>
          <w:sz w:val="20"/>
          <w:szCs w:val="20"/>
        </w:rPr>
        <w:t xml:space="preserve">Repatriation is usually the employer’s cost</w:t>
      </w:r>
    </w:p>
    <w:p>
      <w:pPr>
        <w:spacing w:after="60" w:line="264"/>
        <w:jc w:val="both"/>
      </w:pPr>
      <w:r>
        <w:rPr>
          <w:rFonts w:ascii="Calibri" w:cs="Calibri" w:eastAsia="Calibri" w:hAnsi="Calibri"/>
          <w:sz w:val="19"/>
          <w:szCs w:val="19"/>
        </w:rPr>
        <w:t xml:space="preserve">Unless the employee is dismissed on a ground permitting summary termination or has moved to another UAE employer, the cost of return to the point of recruitment falls on the employer. Budget for it in the cost of the hire.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33/2021 has been amended, and Cabinet resolutions on leave, overtime, notice, penalties and dispute resolution change — confirm the current position with MOHRE or a UAE employment adviser, and have any bilingual contract prepared with a qualified legal translator.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2026-08-23T16:28:32.039Z</dcterms:created>
  <dcterms:modified xsi:type="dcterms:W3CDTF">2026-08-23T16:28:32.039Z</dcterms:modified>
</cp:coreProperties>
</file>

<file path=docProps/custom.xml><?xml version="1.0" encoding="utf-8"?>
<Properties xmlns="http://schemas.openxmlformats.org/officeDocument/2006/custom-properties" xmlns:vt="http://schemas.openxmlformats.org/officeDocument/2006/docPropsVTypes"/>
</file>