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EMPLOYEE WELLBEING</w:t>
      </w:r>
    </w:p>
    <w:p>
      <w:pPr>
        <w:spacing w:after="260"/>
        <w:jc w:val="center"/>
      </w:pPr>
      <w:r>
        <w:rPr>
          <w:rFonts w:ascii="Calibri" w:cs="Calibri" w:eastAsia="Calibri" w:hAnsi="Calibri"/>
          <w:i/>
          <w:iCs/>
          <w:color w:val="6E7480"/>
          <w:sz w:val="19"/>
          <w:szCs w:val="19"/>
        </w:rPr>
        <w:t xml:space="preserve">Support, workload and knowing when to refer</w:t>
      </w:r>
    </w:p>
    <w:p>
      <w:pPr>
        <w:spacing w:after="180" w:before="0" w:line="276"/>
        <w:jc w:val="both"/>
      </w:pPr>
      <w:r>
        <w:rPr>
          <w:rFonts w:ascii="Calibri" w:cs="Calibri" w:eastAsia="Calibri" w:hAnsi="Calibri"/>
          <w:i/>
          <w:iCs/>
          <w:color w:val="6E7480"/>
          <w:sz w:val="21"/>
          <w:szCs w:val="21"/>
        </w:rPr>
        <w:t xml:space="preserve">Two things shape wellbeing in a UAE workplace and are rarely named. Many employees hold their </w:t>
      </w:r>
      <w:r>
        <w:rPr>
          <w:rFonts w:ascii="Calibri" w:cs="Calibri" w:eastAsia="Calibri" w:hAnsi="Calibri"/>
          <w:b/>
          <w:bCs/>
          <w:i/>
          <w:iCs/>
          <w:color w:val="6E7480"/>
          <w:sz w:val="21"/>
          <w:szCs w:val="21"/>
        </w:rPr>
        <w:t xml:space="preserve">residence through their job</w:t>
      </w:r>
      <w:r>
        <w:rPr>
          <w:rFonts w:ascii="Calibri" w:cs="Calibri" w:eastAsia="Calibri" w:hAnsi="Calibri"/>
          <w:i/>
          <w:iCs/>
          <w:color w:val="6E7480"/>
          <w:sz w:val="21"/>
          <w:szCs w:val="21"/>
        </w:rPr>
        <w:t xml:space="preserve">, which makes them reluctant to raise anything. And many are </w:t>
      </w:r>
      <w:r>
        <w:rPr>
          <w:rFonts w:ascii="Calibri" w:cs="Calibri" w:eastAsia="Calibri" w:hAnsi="Calibri"/>
          <w:b/>
          <w:bCs/>
          <w:i/>
          <w:iCs/>
          <w:color w:val="6E7480"/>
          <w:sz w:val="21"/>
          <w:szCs w:val="21"/>
        </w:rPr>
        <w:t xml:space="preserve">far from family and support networks</w:t>
      </w:r>
      <w:r>
        <w:rPr>
          <w:rFonts w:ascii="Calibri" w:cs="Calibri" w:eastAsia="Calibri" w:hAnsi="Calibri"/>
          <w:i/>
          <w:iCs/>
          <w:color w:val="6E7480"/>
          <w:sz w:val="21"/>
          <w:szCs w:val="21"/>
        </w:rPr>
        <w:t xml:space="preserve">, so work is a larger share of their life than it would be at home.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Wellbeing contact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[Employee assistance programme]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[PROVIDER, contact, languages]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Health insurance — mental health cover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[Confirm what the plan covers]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Emergency services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999</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[National mental health support line]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[CONFIRM THE CURRENT NUMBER AND INSERT]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Languages support is available in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 and date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WHAT THIS POLICY IS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Company wants people to work in a way that is sustainable, and to be able to ask for help without it counting against them.</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b/>
          <w:bCs/>
          <w:sz w:val="21"/>
          <w:szCs w:val="21"/>
        </w:rPr>
        <w:t xml:space="preserve">This policy does not make managers counsellors.</w:t>
      </w:r>
      <w:r>
        <w:rPr>
          <w:rFonts w:ascii="Calibri" w:cs="Calibri" w:eastAsia="Calibri" w:hAnsi="Calibri"/>
          <w:sz w:val="21"/>
          <w:szCs w:val="21"/>
        </w:rPr>
        <w:t xml:space="preserve"> It sets out what the Company will do, and where to point someone who needs more than a workplace can provide.</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Nothing here replaces professional support. </w:t>
      </w:r>
      <w:r>
        <w:rPr>
          <w:rFonts w:ascii="Calibri" w:cs="Calibri" w:eastAsia="Calibri" w:hAnsi="Calibri"/>
          <w:b/>
          <w:bCs/>
          <w:sz w:val="21"/>
          <w:szCs w:val="21"/>
        </w:rPr>
        <w:t xml:space="preserve">Where someone needs help beyond work, the right response is to help them reach it — not to try to provide it.</w:t>
      </w:r>
    </w:p>
    <w:p>
      <w:pPr>
        <w:keepNext/>
        <w:spacing w:after="120" w:before="280"/>
        <w:outlineLvl w:val="0"/>
      </w:pPr>
      <w:r>
        <w:rPr>
          <w:rFonts w:ascii="Calibri" w:cs="Calibri" w:eastAsia="Calibri" w:hAnsi="Calibri"/>
          <w:b/>
          <w:bCs/>
          <w:color w:val="14161B"/>
          <w:sz w:val="22"/>
          <w:szCs w:val="22"/>
        </w:rPr>
        <w:t xml:space="preserve">2. WHAT WE COMMIT TO</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Commitment</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 practice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Reasonable workload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Realistic objectives; capacity considered before work is added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Respect for rest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Statutory leave taken, not accumulated; weekly rest respected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 expectation of constant availability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Out-of-hours contact only where genuinely necessary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 safe workplace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Including the midday ban and heat protections for outdoor work</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 retaliation for raising a concern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Including a wellbeing one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Confidentiality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Health information is sensitive and access is restricted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Flexibility where it can be accommodated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Discussed case by case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Support in reaching professional help</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Insurance, referral, time to attend appointments</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Leave taken matters more than leave granted. A culture where people accumulate untaken leave and answer messages at midnight is not addressed by a wellbeing policy — it is addressed by managers behaving differently, visibly.</w:t>
      </w:r>
    </w:p>
    <w:p>
      <w:pPr>
        <w:keepNext/>
        <w:spacing w:after="120" w:before="280"/>
        <w:outlineLvl w:val="0"/>
      </w:pPr>
      <w:r>
        <w:rPr>
          <w:rFonts w:ascii="Calibri" w:cs="Calibri" w:eastAsia="Calibri" w:hAnsi="Calibri"/>
          <w:b/>
          <w:bCs/>
          <w:color w:val="14161B"/>
          <w:sz w:val="22"/>
          <w:szCs w:val="22"/>
        </w:rPr>
        <w:t xml:space="preserve">3. THE RESIDENCE POINT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Many employees hold their residence visa through their employment. </w:t>
      </w:r>
      <w:r>
        <w:rPr>
          <w:rFonts w:ascii="Calibri" w:cs="Calibri" w:eastAsia="Calibri" w:hAnsi="Calibri"/>
          <w:b/>
          <w:bCs/>
          <w:sz w:val="21"/>
          <w:szCs w:val="21"/>
        </w:rPr>
        <w:t xml:space="preserve">That makes raising a problem feel risky in a way it would not be elsewhere.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The Company will not terminate, cancel a visa, reduce hours or otherwise disadvantage anyone because they raised a wellbeing concern or sought support.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Dismissal because an employee raised a legitimate concern may amount to </w:t>
      </w:r>
      <w:r>
        <w:rPr>
          <w:rFonts w:ascii="Calibri" w:cs="Calibri" w:eastAsia="Calibri" w:hAnsi="Calibri"/>
          <w:b/>
          <w:bCs/>
          <w:sz w:val="21"/>
          <w:szCs w:val="21"/>
        </w:rPr>
        <w:t xml:space="preserve">arbitrary dismissal</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i/>
          <w:iCs/>
          <w:sz w:val="21"/>
          <w:szCs w:val="21"/>
        </w:rPr>
        <w:t xml:space="preserve">Say this plainly and repeat it. A policy that does not address the fear will not be used, and the absence of anyone asking for help will be mistaken for the absence of anyone needing it.</w:t>
      </w:r>
    </w:p>
    <w:p>
      <w:pPr>
        <w:keepNext/>
        <w:spacing w:after="120" w:before="280"/>
        <w:outlineLvl w:val="0"/>
      </w:pPr>
      <w:r>
        <w:rPr>
          <w:rFonts w:ascii="Calibri" w:cs="Calibri" w:eastAsia="Calibri" w:hAnsi="Calibri"/>
          <w:b/>
          <w:bCs/>
          <w:color w:val="14161B"/>
          <w:sz w:val="22"/>
          <w:szCs w:val="22"/>
        </w:rPr>
        <w:t xml:space="preserve">4. DISTANCE FROM HOME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Many employees are far from family and long-standing support networks. Bereavement, family illness and family difficulty are all harder at a distance.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Company will, where it reasonably can:</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be flexible about leave in a family emergency;</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help with travel arrangements at short notice;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be practical about handover so someone can actually leave;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not press for a return date before it is realistic.</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Statutory </w:t>
      </w:r>
      <w:r>
        <w:rPr>
          <w:rFonts w:ascii="Calibri" w:cs="Calibri" w:eastAsia="Calibri" w:hAnsi="Calibri"/>
          <w:b/>
          <w:bCs/>
          <w:sz w:val="21"/>
          <w:szCs w:val="21"/>
        </w:rPr>
        <w:t xml:space="preserve">bereavement leave</w:t>
      </w:r>
      <w:r>
        <w:rPr>
          <w:rFonts w:ascii="Calibri" w:cs="Calibri" w:eastAsia="Calibri" w:hAnsi="Calibri"/>
          <w:sz w:val="21"/>
          <w:szCs w:val="21"/>
        </w:rPr>
        <w:t xml:space="preserve"> applies, and the Company will consider more where the circumstances warrant it.</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i/>
          <w:iCs/>
          <w:sz w:val="21"/>
          <w:szCs w:val="21"/>
        </w:rPr>
        <w:t xml:space="preserve">Someone who cannot get home for a parent’s funeral because a handover was not arranged remembers it permanently, and so does everyone watching.</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FOR MANAGERS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9"/>
        <w:gridCol w:w="4819"/>
      </w:tblGrid>
      <w:tr>
        <w:trPr>
          <w:cantSplit/>
          <w:tblHeader/>
        </w:trPr>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 not</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Notice changes</w:t>
            </w:r>
            <w:r>
              <w:rPr>
                <w:rFonts w:ascii="Calibri" w:cs="Calibri" w:eastAsia="Calibri" w:hAnsi="Calibri"/>
                <w:sz w:val="18"/>
                <w:szCs w:val="18"/>
              </w:rPr>
              <w:t xml:space="preserve"> — withdrawal, lateness, irritability, decline in work</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Diagnose, or speculate about a condition</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Ask, privately and simply</w:t>
            </w:r>
            <w:r>
              <w:rPr>
                <w:rFonts w:ascii="Calibri" w:cs="Calibri" w:eastAsia="Calibri" w:hAnsi="Calibri"/>
                <w:sz w:val="18"/>
                <w:szCs w:val="18"/>
              </w:rPr>
              <w:t xml:space="preserve">: are you alright?</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Ask in front of others</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Listen without fixing</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Offer amateur advice</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Ask what would help</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Assume you know</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Point to professional support</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Try to provide it yourself</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Adjust workload where you can</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Promise what you cannot deliver</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Follow up — more than once</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Ask once and move on</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Keep it confidential</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Discuss it with the team</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Escalate where you are out of your depth</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Carry it alone</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 only what you need to</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Keep informal notes on health</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If you are worried about someone’s immediate safety, do not manage it alone.</w:t>
      </w:r>
      <w:r>
        <w:rPr>
          <w:rFonts w:ascii="Calibri" w:cs="Calibri" w:eastAsia="Calibri" w:hAnsi="Calibri"/>
          <w:sz w:val="21"/>
          <w:szCs w:val="21"/>
        </w:rPr>
        <w:t xml:space="preserve"> Stay with them, contact </w:t>
      </w:r>
      <w:r>
        <w:rPr>
          <w:rFonts w:ascii="Calibri" w:cs="Calibri" w:eastAsia="Calibri" w:hAnsi="Calibri"/>
          <w:b/>
          <w:bCs/>
          <w:sz w:val="21"/>
          <w:szCs w:val="21"/>
        </w:rPr>
        <w:t xml:space="preserve">[NAME]</w:t>
      </w:r>
      <w:r>
        <w:rPr>
          <w:rFonts w:ascii="Calibri" w:cs="Calibri" w:eastAsia="Calibri" w:hAnsi="Calibri"/>
          <w:sz w:val="21"/>
          <w:szCs w:val="21"/>
        </w:rPr>
        <w:t xml:space="preserve"> and, if there is immediate danger, call </w:t>
      </w:r>
      <w:r>
        <w:rPr>
          <w:rFonts w:ascii="Calibri" w:cs="Calibri" w:eastAsia="Calibri" w:hAnsi="Calibri"/>
          <w:b/>
          <w:bCs/>
          <w:sz w:val="21"/>
          <w:szCs w:val="21"/>
        </w:rPr>
        <w:t xml:space="preserve">999</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i/>
          <w:iCs/>
          <w:sz w:val="21"/>
          <w:szCs w:val="21"/>
        </w:rPr>
        <w:t xml:space="preserve">Managers are not expected to be qualified. They are expected to notice, to ask, and to know where to point someone. That is the whole role, and it is enough.</w:t>
      </w:r>
    </w:p>
    <w:p>
      <w:pPr>
        <w:keepNext/>
        <w:spacing w:after="120" w:before="280"/>
        <w:outlineLvl w:val="0"/>
      </w:pPr>
      <w:r>
        <w:rPr>
          <w:rFonts w:ascii="Calibri" w:cs="Calibri" w:eastAsia="Calibri" w:hAnsi="Calibri"/>
          <w:b/>
          <w:bCs/>
          <w:color w:val="14161B"/>
          <w:sz w:val="22"/>
          <w:szCs w:val="22"/>
        </w:rPr>
        <w:t xml:space="preserve">6. WHERE TO GET HELP</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Need</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Route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Immediate danger to life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999</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Urgent medical need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999 or the nearest emergency department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[Mental health support line]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 THE CURRENT NUMBER AND INSERT]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Professional support through insurance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Check the plan; </w:t>
            </w:r>
            <w:r>
              <w:rPr>
                <w:rFonts w:ascii="Calibri" w:cs="Calibri" w:eastAsia="Calibri" w:hAnsi="Calibri"/>
                <w:b/>
                <w:bCs/>
                <w:sz w:val="18"/>
                <w:szCs w:val="18"/>
              </w:rPr>
              <w:t xml:space="preserve">[NAME]</w:t>
            </w:r>
            <w:r>
              <w:rPr>
                <w:rFonts w:ascii="Calibri" w:cs="Calibri" w:eastAsia="Calibri" w:hAnsi="Calibri"/>
                <w:sz w:val="18"/>
                <w:szCs w:val="18"/>
              </w:rPr>
              <w:t xml:space="preserve"> can help without asking why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[Employee assistance programme]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[PROVIDER]</w:t>
            </w:r>
            <w:r>
              <w:rPr>
                <w:rFonts w:ascii="Calibri" w:cs="Calibri" w:eastAsia="Calibri" w:hAnsi="Calibri"/>
                <w:sz w:val="18"/>
                <w:szCs w:val="18"/>
              </w:rPr>
              <w:t xml:space="preserve"> — confidential, </w:t>
            </w:r>
            <w:r>
              <w:rPr>
                <w:rFonts w:ascii="Calibri" w:cs="Calibri" w:eastAsia="Calibri" w:hAnsi="Calibri"/>
                <w:b/>
                <w:bCs/>
                <w:sz w:val="18"/>
                <w:szCs w:val="18"/>
              </w:rPr>
              <w:t xml:space="preserve">[languages]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workplace problem — workload, a manager, a colleague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r>
              <w:rPr>
                <w:rFonts w:ascii="Calibri" w:cs="Calibri" w:eastAsia="Calibri" w:hAnsi="Calibri"/>
                <w:sz w:val="18"/>
                <w:szCs w:val="18"/>
              </w:rPr>
              <w:t xml:space="preserve">, or the grievance procedure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Harassment or discrimination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respect at work policy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Something you cannot name yet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Start with </w:t>
            </w:r>
            <w:r>
              <w:rPr>
                <w:rFonts w:ascii="Calibri" w:cs="Calibri" w:eastAsia="Calibri" w:hAnsi="Calibri"/>
                <w:b/>
                <w:bCs/>
                <w:sz w:val="18"/>
                <w:szCs w:val="18"/>
              </w:rPr>
              <w:t xml:space="preserve">[NAME]</w:t>
            </w:r>
            <w:r>
              <w:rPr>
                <w:rFonts w:ascii="Calibri" w:cs="Calibri" w:eastAsia="Calibri" w:hAnsi="Calibri"/>
                <w:sz w:val="18"/>
                <w:szCs w:val="18"/>
              </w:rPr>
              <w:t xml:space="preserve"> — you do not need to have it worked out</w:t>
            </w:r>
          </w:p>
        </w:tc>
      </w:tr>
    </w:tbl>
    <w:p>
      <w:pPr>
        <w:spacing w:after="140"/>
      </w:pP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b/>
          <w:bCs/>
          <w:sz w:val="21"/>
          <w:szCs w:val="21"/>
        </w:rPr>
        <w:t xml:space="preserve">Confirm the current national and local support numbers before issuing this policy</w:t>
      </w:r>
      <w:r>
        <w:rPr>
          <w:rFonts w:ascii="Calibri" w:cs="Calibri" w:eastAsia="Calibri" w:hAnsi="Calibri"/>
          <w:sz w:val="21"/>
          <w:szCs w:val="21"/>
        </w:rPr>
        <w:t xml:space="preserve">, and check what mental health support your insurance plan actually covers — employees frequently assume it covers nothing.</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Support should be available in </w:t>
      </w:r>
      <w:r>
        <w:rPr>
          <w:rFonts w:ascii="Calibri" w:cs="Calibri" w:eastAsia="Calibri" w:hAnsi="Calibri"/>
          <w:b/>
          <w:bCs/>
          <w:sz w:val="21"/>
          <w:szCs w:val="21"/>
        </w:rPr>
        <w:t xml:space="preserve">languages people actually speak</w:t>
      </w:r>
      <w:r>
        <w:rPr>
          <w:rFonts w:ascii="Calibri" w:cs="Calibri" w:eastAsia="Calibri" w:hAnsi="Calibri"/>
          <w:sz w:val="21"/>
          <w:szCs w:val="21"/>
        </w:rPr>
        <w:t xml:space="preserve">. A helpline nobody can use in their own language is not support.</w:t>
      </w:r>
    </w:p>
    <w:p>
      <w:pPr>
        <w:keepNext/>
        <w:spacing w:after="120" w:before="280"/>
        <w:outlineLvl w:val="0"/>
      </w:pPr>
      <w:r>
        <w:rPr>
          <w:rFonts w:ascii="Calibri" w:cs="Calibri" w:eastAsia="Calibri" w:hAnsi="Calibri"/>
          <w:b/>
          <w:bCs/>
          <w:color w:val="14161B"/>
          <w:sz w:val="22"/>
          <w:szCs w:val="22"/>
        </w:rPr>
        <w:t xml:space="preserve">7. PRACTICAL STEPS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6264"/>
        <w:gridCol w:w="2893"/>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626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Action</w:t>
            </w:r>
          </w:p>
        </w:tc>
        <w:tc>
          <w:tcPr>
            <w:tcW w:type="dxa" w:w="289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Frequency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 leave balances — who is not taking leave?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Quarterly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Review sustained overtime and weekend working</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Quarterly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Confirm what the insurance plan covers and tell people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Verify support numbers are current</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Brief managers on Section 5</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Check outdoor work conditions and heat protections</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Each summer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Review exit interview themes for workload signals</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Quarterly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62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Issue this policy in the languages people read</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joining</w:t>
            </w:r>
          </w:p>
        </w:tc>
      </w:tr>
    </w:tbl>
    <w:p>
      <w:pPr>
        <w:spacing w:after="140"/>
      </w:pP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i/>
          <w:iCs/>
          <w:sz w:val="21"/>
          <w:szCs w:val="21"/>
        </w:rPr>
        <w:t xml:space="preserve">Untaken leave is the most reliable early indicator a workplace has. It is already measured, requires no survey, and identifies exactly who to talk to.</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Name the residence fear</w:t>
      </w:r>
    </w:p>
    <w:p>
      <w:pPr>
        <w:spacing w:after="60" w:line="264"/>
        <w:jc w:val="both"/>
      </w:pPr>
      <w:r>
        <w:rPr>
          <w:rFonts w:ascii="Calibri" w:cs="Calibri" w:eastAsia="Calibri" w:hAnsi="Calibri"/>
          <w:sz w:val="19"/>
          <w:szCs w:val="19"/>
        </w:rPr>
        <w:t xml:space="preserve">Many employees hold their visa through their job, which makes raising any problem feel risky. A wellbeing policy that does not address that directly will go unused, and the silence will be mistaken for the absence of need.</w:t>
      </w:r>
    </w:p>
    <w:p>
      <w:pPr>
        <w:keepNext/>
        <w:spacing w:after="40" w:before="140"/>
      </w:pPr>
      <w:r>
        <w:rPr>
          <w:rFonts w:ascii="Calibri" w:cs="Calibri" w:eastAsia="Calibri" w:hAnsi="Calibri"/>
          <w:b/>
          <w:bCs/>
          <w:color w:val="14161B"/>
          <w:sz w:val="20"/>
          <w:szCs w:val="20"/>
        </w:rPr>
        <w:t xml:space="preserve">Distance from home is a real factor</w:t>
      </w:r>
    </w:p>
    <w:p>
      <w:pPr>
        <w:spacing w:after="60" w:line="264"/>
        <w:jc w:val="both"/>
      </w:pPr>
      <w:r>
        <w:rPr>
          <w:rFonts w:ascii="Calibri" w:cs="Calibri" w:eastAsia="Calibri" w:hAnsi="Calibri"/>
          <w:sz w:val="19"/>
          <w:szCs w:val="19"/>
        </w:rPr>
        <w:t xml:space="preserve">A large part of the workforce is far from family and long-standing support networks, so bereavement, family illness and difficulty at home are all harder. Flexibility in a family emergency costs little and is remembered permanently.</w:t>
      </w:r>
    </w:p>
    <w:p>
      <w:pPr>
        <w:keepNext/>
        <w:spacing w:after="40" w:before="140"/>
      </w:pPr>
      <w:r>
        <w:rPr>
          <w:rFonts w:ascii="Calibri" w:cs="Calibri" w:eastAsia="Calibri" w:hAnsi="Calibri"/>
          <w:b/>
          <w:bCs/>
          <w:color w:val="14161B"/>
          <w:sz w:val="20"/>
          <w:szCs w:val="20"/>
        </w:rPr>
        <w:t xml:space="preserve">Managers notice and refer — they do not treat</w:t>
      </w:r>
    </w:p>
    <w:p>
      <w:pPr>
        <w:spacing w:after="60" w:line="264"/>
        <w:jc w:val="both"/>
      </w:pPr>
      <w:r>
        <w:rPr>
          <w:rFonts w:ascii="Calibri" w:cs="Calibri" w:eastAsia="Calibri" w:hAnsi="Calibri"/>
          <w:sz w:val="19"/>
          <w:szCs w:val="19"/>
        </w:rPr>
        <w:t xml:space="preserve">The role is to notice a change, ask privately, listen, and point towards professional support. Managers are not qualified to do more and should not try. Saying so in the policy protects both them and the employee.</w:t>
      </w:r>
    </w:p>
    <w:p>
      <w:pPr>
        <w:keepNext/>
        <w:spacing w:after="40" w:before="140"/>
      </w:pPr>
      <w:r>
        <w:rPr>
          <w:rFonts w:ascii="Calibri" w:cs="Calibri" w:eastAsia="Calibri" w:hAnsi="Calibri"/>
          <w:b/>
          <w:bCs/>
          <w:color w:val="14161B"/>
          <w:sz w:val="20"/>
          <w:szCs w:val="20"/>
        </w:rPr>
        <w:t xml:space="preserve">Point to help, do not attempt to provide it</w:t>
      </w:r>
    </w:p>
    <w:p>
      <w:pPr>
        <w:spacing w:after="60" w:line="264"/>
        <w:jc w:val="both"/>
      </w:pPr>
      <w:r>
        <w:rPr>
          <w:rFonts w:ascii="Calibri" w:cs="Calibri" w:eastAsia="Calibri" w:hAnsi="Calibri"/>
          <w:sz w:val="19"/>
          <w:szCs w:val="19"/>
        </w:rPr>
        <w:t xml:space="preserve">Where someone needs support beyond what a workplace offers, the right response is to help them reach it — through the insurance plan, an assistance programme, or professional services. Amateur advice, however well meant, is not support.</w:t>
      </w:r>
    </w:p>
    <w:p>
      <w:pPr>
        <w:keepNext/>
        <w:spacing w:after="40" w:before="140"/>
      </w:pPr>
      <w:r>
        <w:rPr>
          <w:rFonts w:ascii="Calibri" w:cs="Calibri" w:eastAsia="Calibri" w:hAnsi="Calibri"/>
          <w:b/>
          <w:bCs/>
          <w:color w:val="14161B"/>
          <w:sz w:val="20"/>
          <w:szCs w:val="20"/>
        </w:rPr>
        <w:t xml:space="preserve">Know what your insurance actually covers</w:t>
      </w:r>
    </w:p>
    <w:p>
      <w:pPr>
        <w:spacing w:after="60" w:line="264"/>
        <w:jc w:val="both"/>
      </w:pPr>
      <w:r>
        <w:rPr>
          <w:rFonts w:ascii="Calibri" w:cs="Calibri" w:eastAsia="Calibri" w:hAnsi="Calibri"/>
          <w:sz w:val="19"/>
          <w:szCs w:val="19"/>
        </w:rPr>
        <w:t xml:space="preserve">Employees frequently assume mental health support is not covered and never ask. Confirm what the plan includes, tell people plainly, and make sure someone can help them access it without having to explain why.</w:t>
      </w:r>
    </w:p>
    <w:p>
      <w:pPr>
        <w:keepNext/>
        <w:spacing w:after="40" w:before="140"/>
      </w:pPr>
      <w:r>
        <w:rPr>
          <w:rFonts w:ascii="Calibri" w:cs="Calibri" w:eastAsia="Calibri" w:hAnsi="Calibri"/>
          <w:b/>
          <w:bCs/>
          <w:color w:val="14161B"/>
          <w:sz w:val="20"/>
          <w:szCs w:val="20"/>
        </w:rPr>
        <w:t xml:space="preserve">Verify support numbers before issuing</w:t>
      </w:r>
    </w:p>
    <w:p>
      <w:pPr>
        <w:spacing w:after="60" w:line="264"/>
        <w:jc w:val="both"/>
      </w:pPr>
      <w:r>
        <w:rPr>
          <w:rFonts w:ascii="Calibri" w:cs="Calibri" w:eastAsia="Calibri" w:hAnsi="Calibri"/>
          <w:sz w:val="19"/>
          <w:szCs w:val="19"/>
        </w:rPr>
        <w:t xml:space="preserve">Helpline numbers change and an out-of-date number in a wellbeing policy is worse than none, because someone will try it at the worst possible moment. Check them annually and record the date.</w:t>
      </w:r>
    </w:p>
    <w:p>
      <w:pPr>
        <w:keepNext/>
        <w:spacing w:after="40" w:before="140"/>
      </w:pPr>
      <w:r>
        <w:rPr>
          <w:rFonts w:ascii="Calibri" w:cs="Calibri" w:eastAsia="Calibri" w:hAnsi="Calibri"/>
          <w:b/>
          <w:bCs/>
          <w:color w:val="14161B"/>
          <w:sz w:val="20"/>
          <w:szCs w:val="20"/>
        </w:rPr>
        <w:t xml:space="preserve">Provide support in languages people speak</w:t>
      </w:r>
    </w:p>
    <w:p>
      <w:pPr>
        <w:spacing w:after="60" w:line="264"/>
        <w:jc w:val="both"/>
      </w:pPr>
      <w:r>
        <w:rPr>
          <w:rFonts w:ascii="Calibri" w:cs="Calibri" w:eastAsia="Calibri" w:hAnsi="Calibri"/>
          <w:sz w:val="19"/>
          <w:szCs w:val="19"/>
        </w:rPr>
        <w:t xml:space="preserve">A helpline available only in English, to a workforce reading several other languages, is not support. Check what languages the provider actually covers before naming them in a policy.</w:t>
      </w:r>
    </w:p>
    <w:p>
      <w:pPr>
        <w:keepNext/>
        <w:spacing w:after="40" w:before="140"/>
      </w:pPr>
      <w:r>
        <w:rPr>
          <w:rFonts w:ascii="Calibri" w:cs="Calibri" w:eastAsia="Calibri" w:hAnsi="Calibri"/>
          <w:b/>
          <w:bCs/>
          <w:color w:val="14161B"/>
          <w:sz w:val="20"/>
          <w:szCs w:val="20"/>
        </w:rPr>
        <w:t xml:space="preserve">Leave taken is the measure, not leave granted</w:t>
      </w:r>
    </w:p>
    <w:p>
      <w:pPr>
        <w:spacing w:after="60" w:line="264"/>
        <w:jc w:val="both"/>
      </w:pPr>
      <w:r>
        <w:rPr>
          <w:rFonts w:ascii="Calibri" w:cs="Calibri" w:eastAsia="Calibri" w:hAnsi="Calibri"/>
          <w:sz w:val="19"/>
          <w:szCs w:val="19"/>
        </w:rPr>
        <w:t xml:space="preserve">A workplace where people accumulate untaken leave and answer messages at midnight has a wellbeing problem that no policy addresses. Quarterly review of who is not taking leave is the most reliable early indicator available, and it needs no survey.</w:t>
      </w:r>
    </w:p>
    <w:p>
      <w:pPr>
        <w:keepNext/>
        <w:spacing w:after="40" w:before="140"/>
      </w:pPr>
      <w:r>
        <w:rPr>
          <w:rFonts w:ascii="Calibri" w:cs="Calibri" w:eastAsia="Calibri" w:hAnsi="Calibri"/>
          <w:b/>
          <w:bCs/>
          <w:color w:val="14161B"/>
          <w:sz w:val="20"/>
          <w:szCs w:val="20"/>
        </w:rPr>
        <w:t xml:space="preserve">Escalate immediate safety concerns, do not manage alone</w:t>
      </w:r>
    </w:p>
    <w:p>
      <w:pPr>
        <w:spacing w:after="60" w:line="264"/>
        <w:jc w:val="both"/>
      </w:pPr>
      <w:r>
        <w:rPr>
          <w:rFonts w:ascii="Calibri" w:cs="Calibri" w:eastAsia="Calibri" w:hAnsi="Calibri"/>
          <w:sz w:val="19"/>
          <w:szCs w:val="19"/>
        </w:rPr>
        <w:t xml:space="preserve">Where a manager is worried about someone’s immediate safety, they should stay with them, contact the named person, and call emergency services if there is immediate danger. No manager should be carrying that alone.</w:t>
      </w:r>
    </w:p>
    <w:p>
      <w:pPr>
        <w:keepNext/>
        <w:spacing w:after="40" w:before="140"/>
      </w:pPr>
      <w:r>
        <w:rPr>
          <w:rFonts w:ascii="Calibri" w:cs="Calibri" w:eastAsia="Calibri" w:hAnsi="Calibri"/>
          <w:b/>
          <w:bCs/>
          <w:color w:val="14161B"/>
          <w:sz w:val="20"/>
          <w:szCs w:val="20"/>
        </w:rPr>
        <w:t xml:space="preserve">Health information is sensitive data</w:t>
      </w:r>
    </w:p>
    <w:p>
      <w:pPr>
        <w:spacing w:after="60" w:line="264"/>
        <w:jc w:val="both"/>
      </w:pPr>
      <w:r>
        <w:rPr>
          <w:rFonts w:ascii="Calibri" w:cs="Calibri" w:eastAsia="Calibri" w:hAnsi="Calibri"/>
          <w:sz w:val="19"/>
          <w:szCs w:val="19"/>
        </w:rPr>
        <w:t xml:space="preserve">Anything a manager learns about an employee’s health is sensitive personal data. Keep it confidential, record only what is genuinely needed for an adjustment, and do not hold informal notes about someone’s condition.</w:t>
      </w:r>
    </w:p>
    <w:p>
      <w:pPr>
        <w:keepNext/>
        <w:spacing w:after="40" w:before="140"/>
      </w:pPr>
      <w:r>
        <w:rPr>
          <w:rFonts w:ascii="Calibri" w:cs="Calibri" w:eastAsia="Calibri" w:hAnsi="Calibri"/>
          <w:b/>
          <w:bCs/>
          <w:color w:val="14161B"/>
          <w:sz w:val="20"/>
          <w:szCs w:val="20"/>
        </w:rPr>
        <w:t xml:space="preserve">Do not retaliate, and say so</w:t>
      </w:r>
    </w:p>
    <w:p>
      <w:pPr>
        <w:spacing w:after="60" w:line="264"/>
        <w:jc w:val="both"/>
      </w:pPr>
      <w:r>
        <w:rPr>
          <w:rFonts w:ascii="Calibri" w:cs="Calibri" w:eastAsia="Calibri" w:hAnsi="Calibri"/>
          <w:sz w:val="19"/>
          <w:szCs w:val="19"/>
        </w:rPr>
        <w:t xml:space="preserve">Reducing hours, changing duties or treating someone differently after they raised a wellbeing concern is retaliation, and dismissal for raising a legitimate concern may amount to arbitrary dismissal. The commitment needs to be stated and then honoured visibly.</w:t>
      </w:r>
    </w:p>
    <w:p>
      <w:pPr>
        <w:keepNext/>
        <w:spacing w:after="40" w:before="140"/>
      </w:pPr>
      <w:r>
        <w:rPr>
          <w:rFonts w:ascii="Calibri" w:cs="Calibri" w:eastAsia="Calibri" w:hAnsi="Calibri"/>
          <w:b/>
          <w:bCs/>
          <w:color w:val="14161B"/>
          <w:sz w:val="20"/>
          <w:szCs w:val="20"/>
        </w:rPr>
        <w:t xml:space="preserve">Heat is a wellbeing issue as well as a safety one</w:t>
      </w:r>
    </w:p>
    <w:p>
      <w:pPr>
        <w:spacing w:after="60" w:line="264"/>
        <w:jc w:val="both"/>
      </w:pPr>
      <w:r>
        <w:rPr>
          <w:rFonts w:ascii="Calibri" w:cs="Calibri" w:eastAsia="Calibri" w:hAnsi="Calibri"/>
          <w:sz w:val="19"/>
          <w:szCs w:val="19"/>
        </w:rPr>
        <w:t xml:space="preserve">For outdoor workers the midday ban, shade, water and supervisor awareness of heat illness are wellbeing measures. Check the conditions each summer rather than assuming last year’s arrangements are still in place.</w:t>
      </w:r>
    </w:p>
    <w:p>
      <w:pPr>
        <w:keepNext/>
        <w:spacing w:after="40" w:before="140"/>
      </w:pPr>
      <w:r>
        <w:rPr>
          <w:rFonts w:ascii="Calibri" w:cs="Calibri" w:eastAsia="Calibri" w:hAnsi="Calibri"/>
          <w:b/>
          <w:bCs/>
          <w:color w:val="14161B"/>
          <w:sz w:val="20"/>
          <w:szCs w:val="20"/>
        </w:rPr>
        <w:t xml:space="preserve">Follow up more than once</w:t>
      </w:r>
    </w:p>
    <w:p>
      <w:pPr>
        <w:spacing w:after="60" w:line="264"/>
        <w:jc w:val="both"/>
      </w:pPr>
      <w:r>
        <w:rPr>
          <w:rFonts w:ascii="Calibri" w:cs="Calibri" w:eastAsia="Calibri" w:hAnsi="Calibri"/>
          <w:sz w:val="19"/>
          <w:szCs w:val="19"/>
        </w:rPr>
        <w:t xml:space="preserve">A single conversation discharges nothing. People say they are fine the first time. Checking back a week later, and again, is what makes the offer of support credible.</w:t>
      </w:r>
    </w:p>
    <w:p>
      <w:pPr>
        <w:keepNext/>
        <w:spacing w:after="40" w:before="140"/>
      </w:pPr>
      <w:r>
        <w:rPr>
          <w:rFonts w:ascii="Calibri" w:cs="Calibri" w:eastAsia="Calibri" w:hAnsi="Calibri"/>
          <w:b/>
          <w:bCs/>
          <w:color w:val="14161B"/>
          <w:sz w:val="20"/>
          <w:szCs w:val="20"/>
        </w:rPr>
        <w:t xml:space="preserve">Watch for the pattern in exits</w:t>
      </w:r>
    </w:p>
    <w:p>
      <w:pPr>
        <w:spacing w:after="60" w:line="264"/>
        <w:jc w:val="both"/>
      </w:pPr>
      <w:r>
        <w:rPr>
          <w:rFonts w:ascii="Calibri" w:cs="Calibri" w:eastAsia="Calibri" w:hAnsi="Calibri"/>
          <w:sz w:val="19"/>
          <w:szCs w:val="19"/>
        </w:rPr>
        <w:t xml:space="preserve">Exit interviews mentioning workload, hours or a particular manager are data. The value is in the pattern across several departures, and it is usually visible long before anyone raises it directly.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t>
      </w:r>
      <w:r>
        <w:rPr>
          <w:rFonts w:ascii="Calibri" w:cs="Calibri" w:eastAsia="Calibri" w:hAnsi="Calibri"/>
          <w:b/>
          <w:bCs/>
          <w:sz w:val="19"/>
          <w:szCs w:val="19"/>
        </w:rPr>
        <w:t xml:space="preserve">Support service numbers, insurance coverage for mental health, statutory leave entitlements and workplace safety requirements all change — verify every contact number and the insurance position before issuing this policy, and review annually.</w:t>
      </w:r>
      <w:r>
        <w:rPr>
          <w:rFonts w:ascii="Calibri" w:cs="Calibri" w:eastAsia="Calibri" w:hAnsi="Calibri"/>
          <w:sz w:val="19"/>
          <w:szCs w:val="19"/>
        </w:rPr>
        <w:t xml:space="preserve"> This document is not clinical guidance; professional support should be sought where it is needed.</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2026-08-23T16:28:33.641Z</dcterms:created>
  <dcterms:modified xsi:type="dcterms:W3CDTF">2026-08-23T16:28:33.641Z</dcterms:modified>
</cp:coreProperties>
</file>

<file path=docProps/custom.xml><?xml version="1.0" encoding="utf-8"?>
<Properties xmlns="http://schemas.openxmlformats.org/officeDocument/2006/custom-properties" xmlns:vt="http://schemas.openxmlformats.org/officeDocument/2006/docPropsVTypes"/>
</file>